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95% CI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Age at diagnosis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61.83 (6.79)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61.11 (6.39)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Time from recruitment to diagnosis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0.020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Year of diagnosis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0.58, 1.74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1.72, 3.53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Morphology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0.69, 1.35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0.53, 1.58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Node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Tumour size (mm)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1.55, 2.65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1.43, 5.73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ER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0.59, 1.18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6"/>
                <w:szCs w:val="16"/>
                <w:color w:val="000000"/>
              </w:rPr>
              <w:t xml:space="preserve">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2025-07-01T10:00:53Z</dcterms:modified>
  <cp:category/>
</cp:coreProperties>
</file>