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Derived Detection Mode</w:t>
            </w:r>
          </w:p>
        </w:tc>
      </w:tr>
      <w:tr>
        <w:trPr>
          <w:trHeight w:val="614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Registry Detection Mode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Interval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Screen-Detected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Total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Interval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501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397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898 (34%)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Screen-Detected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852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119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1,004 (38%)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56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79 (3.0%)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634 (24%)</w:t>
            </w:r>
          </w:p>
        </w:tc>
      </w:tr>
      <w:tr>
        <w:trPr>
          <w:trHeight w:val="617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613 (23%)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908 (35%)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1,094 (42%)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2,615 (100%)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2025-07-11T15:48:52Z</dcterms:modified>
  <cp:category/>
</cp:coreProperties>
</file>