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3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Interval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755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Screen-Detected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1,185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recruitment,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55.13 (7.11)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55.19 (6.93)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mammogram,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58.56 (5.39)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58.49 (5.37)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62.32 (6.80)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61.61 (6.38)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Time from recruitment to mammogram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2.54 (2.28)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2.32 (2.16)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59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Unknown,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Time from recruitment to diagnosis (years),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7.19 (3.69)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6.42 (3.58)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diagnosis,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2004-2008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2009-2013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496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2014-2018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404 (54)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 (43)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Invasive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DCIS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Invasive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708 (94)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924 (78)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477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271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Morphology type,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Ductal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549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Lobular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 (3.6)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Node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304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Tumour size (mm),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21-50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 (4.1)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352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 (70)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791 (67)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375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0.313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656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524 (69)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0.943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 (17)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368 (31)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p-value from logistic regression multivariate model of all listed variables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Abbreviation: CI = Confidence Interval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2026-05-05T13:56:28Z</dcterms:modified>
  <cp:category/>
</cp:coreProperties>
</file>