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Interval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Screen-Detected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recruitment,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55.13 (7.11)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55.19 (6.93)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mammogram,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58.56 (5.39)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58.49 (5.37)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62.32 (6.80)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61.61 (6.38)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0.306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mammogram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2.54 (2.28)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2.32 (2.16)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diagnosis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 of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0.256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0.972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0.080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Grade,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Morphology type,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0.833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Node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Tumour size (mm),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0.313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HER2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0.943</w:t>
            </w:r>
          </w:p>
        </w:tc>
      </w:tr>
      <w:tr>
        <w:trPr>
          <w:trHeight w:val="617" w:hRule="auto"/>
        </w:trPr>
        body46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2025-09-25T14:24:17Z</dcterms:modified>
  <cp:category/>
</cp:coreProperties>
</file>