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Derived Detection Mode</w:t>
            </w:r>
          </w:p>
        </w:tc>
      </w:tr>
      <w:tr>
        <w:trPr>
          <w:trHeight w:val="614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Registry Detection Mode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Interval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Screen-Detected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Total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Interval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501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397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898 (34%)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Screen-Detected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33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852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119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1,004 (38%)</w:t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17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56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79 (3.0%)</w:t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62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50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522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634 (24%)</w:t>
            </w:r>
          </w:p>
        </w:tc>
      </w:tr>
      <w:tr>
        <w:trPr>
          <w:trHeight w:val="617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613 (23%)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908 (35%)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1,094 (42%)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2,615 (100%)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2025-09-25T14:25:08Z</dcterms:modified>
  <cp:category/>
</cp:coreProperties>
</file>