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Derived Detection Mode</w:t>
            </w:r>
          </w:p>
        </w:tc>
      </w:tr>
      <w:tr>
        <w:trPr>
          <w:trHeight w:val="61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Registry Detection Mode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501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397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898 (34%)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1,004 (38%)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(3.0%)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634 (24%)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1,094 (42%)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2,615 (100%)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2026-05-07T17:26:43Z</dcterms:modified>
  <cp:category/>
</cp:coreProperties>
</file>