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71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Derived Detection Mode</w:t>
            </w:r>
          </w:p>
        </w:tc>
      </w:tr>
      <w:tr>
        <w:trPr>
          <w:trHeight w:val="614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Registry Detection Mode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Interval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Screen-Detected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Total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Interval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477 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 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150 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627 (24%)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Screen-Detected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32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827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237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1,096 (42%)</w:t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31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459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496 (19%)</w:t>
            </w:r>
          </w:p>
        </w:tc>
      </w:tr>
      <w:tr>
        <w:trPr>
          <w:trHeight w:val="617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73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75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248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396 (15%)</w:t>
            </w:r>
          </w:p>
        </w:tc>
      </w:tr>
      <w:tr>
        <w:trPr>
          <w:trHeight w:val="617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613 (23%)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908 (35%)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1,094 (42%)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2,615 (100%)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2026-03-05T16:31:21Z</dcterms:modified>
  <cp:category/>
</cp:coreProperties>
</file>