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Derived Detection Mode</w:t>
            </w:r>
          </w:p>
        </w:tc>
      </w:tr>
      <w:tr>
        <w:trPr>
          <w:trHeight w:val="614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Registry Detection Mode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Screen-Detected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Total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Interval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501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397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898 (34%)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Screen-Detected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852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119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1,004 (38%)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56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79 (3.0%)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634 (24%)</w:t>
            </w:r>
          </w:p>
        </w:tc>
      </w:tr>
      <w:tr>
        <w:trPr>
          <w:trHeight w:val="617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613 (23%)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1,094 (42%)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2,615 (100%)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2025-05-23T16:33:28Z</dcterms:modified>
  <cp:category/>
</cp:coreProperties>
</file>