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w14="http://schemas.microsoft.com/office/word/2010/wordml" xmlns:r="http://schemas.openxmlformats.org/officeDocument/2006/relationships">
  <w:body>
    <w:p>
      <w:pPr>
        <w:jc w:val="center"/>
        <w:spacing w:before="720" w:after="120"/>
      </w:pPr>
      <w:r>
        <w:rPr>
          <w:b/>
          <w:bCs/>
          <w:sz w:val="52"/>
          <w:szCs w:val="52"/>
        </w:rPr>
        <w:t xml:space="preserve">EduSage FX</w:t>
      </w:r>
    </w:p>
    <w:p>
      <w:pPr>
        <w:jc w:val="center"/>
        <w:spacing w:before="0" w:after="200"/>
      </w:pPr>
      <w:r>
        <w:rPr>
          <w:sz w:val="28"/>
          <w:szCs w:val="28"/>
        </w:rPr>
        <w:t xml:space="preserve">A Smart Student Performance Analytics Platform</w:t>
      </w:r>
      <w:r>
        <w:br/>
      </w:r>
      <w:r>
        <w:rPr>
          <w:sz w:val="28"/>
          <w:szCs w:val="28"/>
        </w:rPr>
        <w:t xml:space="preserve">Project Report</w:t>
      </w:r>
    </w:p>
    <w:p>
      <w:pPr>
        <w:jc w:val="center"/>
        <w:spacing w:before="0" w:after="80"/>
      </w:pPr>
      <w:r>
        <w:rPr>
          <w:sz w:val="24"/>
          <w:szCs w:val="24"/>
        </w:rPr>
        <w:t xml:space="preserve">Department of Computer Science</w:t>
      </w:r>
    </w:p>
    <w:p>
      <w:pPr>
        <w:jc w:val="center"/>
        <w:spacing w:before="0" w:after="480"/>
      </w:pPr>
      <w:r>
        <w:rPr>
          <w:sz w:val="24"/>
          <w:szCs w:val="24"/>
        </w:rPr>
        <w:t xml:space="preserve">April 2026</w:t>
      </w:r>
    </w:p>
    <w:p>
      <w:pPr>
        <w:jc w:val="center"/>
        <w:spacing w:before="0" w:after="480"/>
      </w:pPr>
      <w:r>
        <w:t xml:space="preserve">────────────────────────────────────────────────────────────</w:t>
      </w:r>
    </w:p>
    <w:p>
      <w:pPr>
        <w:pStyle w:val="Heading1"/>
        <w:spacing w:before="240" w:after="120"/>
      </w:pPr>
      <w:r>
        <w:t xml:space="preserve">Abstract</w:t>
      </w:r>
    </w:p>
    <w:p>
      <w:r>
        <w:t xml:space="preserve">EduSage FX is a full-stack desktop application designed to provide educational institutions with real-time student performance analytics, risk detection, and personalized academic recommendations. Built on a Spring Boot 3.2 RESTful backend and a JavaFX 21 desktop client, the system supports three distinct user roles — Student, Teacher, and Administrator — each with a purpose-built dashboard. The platform computes seven analytics metrics per student, applies a rule-based recommendation engine, supports online quiz creation and grading, exports PDF performance reports, and provides full user lifecycle management through a secure JWT-authenticated API. This report describes the system design, technical implementation, alignment with core software engineering concepts from the curriculum, and the project’s contribution to the United Nations Sustainable Development Goal 4: Quality Education.</w:t>
      </w:r>
    </w:p>
    <w:p>
      <w:pPr>
        <w:pStyle w:val="Heading1"/>
        <w:spacing w:before="240" w:after="120"/>
      </w:pPr>
      <w:r>
        <w:t xml:space="preserve">1. Introduction</w:t>
      </w:r>
    </w:p>
    <w:p>
      <w:r>
        <w:t xml:space="preserve">Academic underperformance is a systemic challenge in modern educational institutions. Students who struggle often go unnoticed until assessment results are published, by which point corrective intervention may be too late. Existing tools — spreadsheets, generic LMS reports, and manual grade books — are fragmented, reactive, and offer no predictive or advisory capability.</w:t>
      </w:r>
    </w:p>
    <w:p>
      <w:r>
        <w:t xml:space="preserve">EduSage FX addresses this gap by providing a unified, role-aware analytics platform accessible as a native desktop application. The system ingests quiz scores and attendance data, computes multi-dimensional performance metrics, classifies student risk in real time, and surfaces actionable recommendations — all without requiring an internet browser or cloud subscription. The platform is designed to be deployable on any institution network running a MariaDB or MySQL-compatible database server.</w:t>
      </w:r>
    </w:p>
    <w:p>
      <w:pPr>
        <w:pStyle w:val="Heading1"/>
        <w:spacing w:before="240" w:after="120"/>
      </w:pPr>
      <w:r>
        <w:t xml:space="preserve">2. Objectives</w:t>
      </w:r>
    </w:p>
    <w:p>
      <w:pPr>
        <w:pStyle w:val="ListParagraph"/>
        <w:numPr>
          <w:ilvl w:val="0"/>
          <w:numId w:val="1"/>
        </w:numPr>
        <w:spacing w:after="80"/>
      </w:pPr>
      <w:r>
        <w:t xml:space="preserve">Provide students with a transparent, data-driven view of their academic performance across all subjects.</w:t>
      </w:r>
    </w:p>
    <w:p>
      <w:pPr>
        <w:pStyle w:val="ListParagraph"/>
        <w:numPr>
          <w:ilvl w:val="0"/>
          <w:numId w:val="1"/>
        </w:numPr>
        <w:spacing w:after="80"/>
      </w:pPr>
      <w:r>
        <w:t xml:space="preserve">Enable teachers to monitor entire class cohorts, identify at-risk students early, and log counselling interventions.</w:t>
      </w:r>
    </w:p>
    <w:p>
      <w:pPr>
        <w:pStyle w:val="ListParagraph"/>
        <w:numPr>
          <w:ilvl w:val="0"/>
          <w:numId w:val="1"/>
        </w:numPr>
        <w:spacing w:after="80"/>
      </w:pPr>
      <w:r>
        <w:t xml:space="preserve">Equip administrators with institution-wide statistics and full user lifecycle management capabilities.</w:t>
      </w:r>
    </w:p>
    <w:p>
      <w:pPr>
        <w:pStyle w:val="ListParagraph"/>
        <w:numPr>
          <w:ilvl w:val="0"/>
          <w:numId w:val="1"/>
        </w:numPr>
        <w:spacing w:after="80"/>
      </w:pPr>
      <w:r>
        <w:t xml:space="preserve">Implement a secure, stateless authentication system using JSON Web Tokens and role-based access control.</w:t>
      </w:r>
    </w:p>
    <w:p>
      <w:pPr>
        <w:pStyle w:val="ListParagraph"/>
        <w:numPr>
          <w:ilvl w:val="0"/>
          <w:numId w:val="1"/>
        </w:numPr>
        <w:spacing w:after="80"/>
      </w:pPr>
      <w:r>
        <w:t xml:space="preserve">Demonstrate the application of core object-oriented, architectural, and database concepts from the curriculum.</w:t>
      </w:r>
    </w:p>
    <w:p>
      <w:pPr>
        <w:pStyle w:val="ListParagraph"/>
        <w:numPr>
          <w:ilvl w:val="0"/>
          <w:numId w:val="1"/>
        </w:numPr>
        <w:spacing w:after="80"/>
      </w:pPr>
      <w:r>
        <w:t xml:space="preserve">Contribute to SDG 4 (Quality Education) by reducing academic dropout risk through timely data-driven intervention.</w:t>
      </w:r>
    </w:p>
    <w:p>
      <w:pPr>
        <w:pStyle w:val="Heading1"/>
        <w:spacing w:before="240" w:after="120"/>
      </w:pPr>
      <w:r>
        <w:t xml:space="preserve">3. Application of Syllabus Concepts</w:t>
      </w:r>
    </w:p>
    <w:p>
      <w:r>
        <w:t xml:space="preserve">EduSage FX directly applies a minimum of four core concepts covered in the curriculum. Each is described below with specific references to its implementation in the project.</w:t>
      </w:r>
    </w:p>
    <w:p>
      <w:pPr>
        <w:pStyle w:val="Heading2"/>
        <w:spacing w:before="200" w:after="100"/>
      </w:pPr>
      <w:r>
        <w:t xml:space="preserve">3.1 Object-Oriented Programming (OOP)</w:t>
      </w:r>
    </w:p>
    <w:p>
      <w:r>
        <w:t xml:space="preserve">The entire codebase is structured around OOP principles. Encapsulation is enforced throughout the backend via Lombok-generated getters and setters on entity classes such as User, Student, Teacher, Score, and Quiz, with all fields declared private and accessed only through defined interfaces. Abstraction is achieved by separating business logic into dedicated service classes (AuthService, AnalyticsService, RecommendationService, QuizService, ContentService) that hide implementation details from controllers and clients.</w:t>
      </w:r>
    </w:p>
    <w:p>
      <w:r>
        <w:t xml:space="preserve">Inheritance is used extensively in the JavaFX client: all FXML controllers share the JavaFX Application lifecycle, and JavaFX UI components inherit from Node and Region. Polymorphism is demonstrated through Spring’s dependency injection — interfaces such as UserDetailsService and PasswordEncoder are resolved at runtime to their concrete implementations (UserDetailsServiceImpl, BCryptPasswordEncoder), enabling loose coupling and testability.</w:t>
      </w:r>
    </w:p>
    <w:p>
      <w:r>
        <w:t xml:space="preserve">The Singleton design pattern is applied in the UserSession class on the client side, ensuring that exactly one session context is shared across all controllers for the lifetime of the application, preventing state duplication and race conditions.</w:t>
      </w:r>
    </w:p>
    <w:p>
      <w:pPr>
        <w:pStyle w:val="Heading2"/>
        <w:spacing w:before="200" w:after="100"/>
      </w:pPr>
      <w:r>
        <w:t xml:space="preserve">3.2 Multi-Tier Client–Server Architecture</w:t>
      </w:r>
    </w:p>
    <w:p>
      <w:r>
        <w:t xml:space="preserve">EduSage FX follows a classic three-tier architecture. The Presentation Tier is the JavaFX 21 desktop client, which renders FXML-defined UI layouts and communicates with the backend exclusively through HTTP REST calls using Java’s built-in HttpClient. No business logic resides in the client — it only formats and displays data.</w:t>
      </w:r>
    </w:p>
    <w:p>
      <w:r>
        <w:t xml:space="preserve">The Business Logic Tier is the Spring Boot 3.2 REST API. Controllers (AuthController, StudentController, TeacherController, AdminController, QuizController, ContentController) receive HTTP requests, delegate processing to service classes, and return JSON responses. Services encapsulate all domain rules — for example, AnalyticsService computes seven metrics including moving average, improvement rate, and risk level from raw score and attendance data.</w:t>
      </w:r>
    </w:p>
    <w:p>
      <w:r>
        <w:t xml:space="preserve">The Data Tier is a MariaDB 11 relational database accessed through Spring Data JPA with Hibernate as the ORM provider. The schema comprises nine entities: User, Student, Teacher, Score, Attendance, Quiz, QuizQuestion, CounsellingSession, and Content. All database interactions are performed through typed Spring Data repository interfaces, keeping SQL generation declarative and the codebase free of manual JDBC boilerplate.</w:t>
      </w:r>
    </w:p>
    <w:p>
      <w:pPr>
        <w:pStyle w:val="Heading2"/>
        <w:spacing w:before="200" w:after="100"/>
      </w:pPr>
      <w:r>
        <w:t xml:space="preserve">3.3 Database Management and ORM</w:t>
      </w:r>
    </w:p>
    <w:p>
      <w:r>
        <w:t xml:space="preserve">The relational schema is normalised to third normal form. Students and Teachers are stored in separate tables linked to the central Users table via foreign keys, enabling role-specific data to be queried without multi-role table bloat. Scores are associated with both a Student and a Quiz entity, allowing per-subject and per-quiz analytics queries.</w:t>
      </w:r>
    </w:p>
    <w:p>
      <w:r>
        <w:t xml:space="preserve">Hibernate JPA is configured with the MariaDBDialect and ddl-auto=update, which automatically synchronises the schema with entity definitions on startup. JPQL-derived query methods in repository interfaces (e.g., findByStudentIdOrderByDateAsc, countByRole, findSystemAverageScore) are translated to optimised SQL at runtime. Transactional boundaries are declared with @Transactional on service methods to ensure atomicity — for example, user registration creates both a User and a Student record within a single transaction, rolling back fully on any failure.</w:t>
      </w:r>
    </w:p>
    <w:p>
      <w:pPr>
        <w:pStyle w:val="Heading2"/>
        <w:spacing w:before="200" w:after="100"/>
      </w:pPr>
      <w:r>
        <w:t xml:space="preserve">3.4 Application Security (Authentication and Authorisation)</w:t>
      </w:r>
    </w:p>
    <w:p>
      <w:r>
        <w:t xml:space="preserve">Security is implemented in two layers. Authentication uses Spring Security’s DaoAuthenticationProvider with BCryptPasswordEncoder (cost factor 10), ensuring passwords are never stored in plain text. Upon successful login or registration, the backend generates a signed JSON Web Token (JWT) using the jjwt 0.11.5 library with a 256-bit HMAC-SHA secret and a 24-hour expiry. This token is returned to the client and stored in the UserSession singleton.</w:t>
      </w:r>
    </w:p>
    <w:p>
      <w:r>
        <w:t xml:space="preserve">Authorisation is enforced by JwtAuthFilter, a Spring Security OncePerRequestFilter that intercepts every incoming request, validates the JWT signature and expiry, and sets the SecurityContext with the authenticated user’s authorities. Route-level access rules are declared in SecurityConfig: /api/auth/** is public; /api/admin/** requires ROLE_ADMIN; /api/teacher/** requires ROLE_TEACHER or ROLE_ADMIN; /api/student/** and /api/quiz/** require any authenticated role. This prevents privilege escalation across all endpoints.</w:t>
      </w:r>
    </w:p>
    <w:p>
      <w:pPr>
        <w:pStyle w:val="Heading1"/>
        <w:spacing w:before="240" w:after="120"/>
      </w:pPr>
      <w:r>
        <w:t xml:space="preserve">4. Alignment with Sustainable Development Goal 4: Quality Education</w:t>
      </w:r>
    </w:p>
    <w:p>
      <w:pPr>
        <w:pStyle w:val="Heading2"/>
        <w:spacing w:before="200" w:after="100"/>
      </w:pPr>
      <w:r>
        <w:t xml:space="preserve">4.1 Selected SDG</w:t>
      </w:r>
    </w:p>
    <w:p>
      <w:r>
        <w:t xml:space="preserve">EduSage FX is aligned with United Nations Sustainable Development Goal 4 — Quality Education — specifically Target 4.1 (‘ensure that all girls and boys complete free, equitable and quality primary and secondary education’) and Target 4.c (‘increase the supply of qualified teachers’). SDG 4 recognises that quality education is foundational to every other development goal: it reduces poverty, improves health outcomes, drives economic growth, and fosters peaceful, inclusive societies. Despite global progress in school enrolment rates, learning outcomes remain deeply unequal — millions of enrolled students fail to acquire basic literacy and numeracy skills because early academic struggles are not identified and addressed in time. EduSage FX directly targets this gap by giving educators the data tools they need to act before a student’s difficulties become irreversible.</w:t>
      </w:r>
    </w:p>
    <w:p>
      <w:pPr>
        <w:pStyle w:val="Heading2"/>
        <w:spacing w:before="200" w:after="100"/>
      </w:pPr>
      <w:r>
        <w:t xml:space="preserve">4.2 How EduSage FX Contributes to SDG 4</w:t>
      </w:r>
    </w:p>
    <w:p>
      <w:r>
        <w:t xml:space="preserve">EduSage FX contributes to SDG 4 in three concrete and measurable ways.</w:t>
      </w:r>
    </w:p>
    <w:p>
      <w:r>
        <w:t xml:space="preserve">First, it enables early identification of struggling students. The platform’s AnalyticsService continuously computes a risk classification (ON_TRACK, NEEDS_ATTENTION, HIGH_RISK) for every student based on their overall score average, attendance percentage, and improvement trajectory. Teachers see this classification directly in the class overview table and are immediately alerted to students who need support, rather than discovering a problem only at the end of a term. Research consistently shows that timely, data-informed intervention is the most effective predictor of improved student outcomes; EduSage FX operationalises this principle at scale.</w:t>
      </w:r>
    </w:p>
    <w:p>
      <w:r>
        <w:t xml:space="preserve">Second, it reduces inequality of learning feedback. In traditional classroom environments, high-performing students receive implicit validation through good grades while underperforming students receive little structured guidance. EduSage FX provides every student — regardless of their performance level — with a personalised dashboard showing their strengths, weaknesses, attendance trends, and specific improvement recommendations. This democratises access to the kind of individualised academic coaching that has historically been available only to students whose families can afford private tutoring.</w:t>
      </w:r>
    </w:p>
    <w:p>
      <w:r>
        <w:t xml:space="preserve">Third, it improves teacher effectiveness and reduces administrative burden. The counselling session logging feature allows teachers to record every intervention made for at-risk students, creating an auditable welfare record. PDF performance reports can be generated with a single click, replacing hours of manual compilation work. By automating routine analytical and reporting tasks, EduSage FX frees teachers to spend more time on instruction — directly contributing to Target 4.c’s goal of increasing teacher quality and effectiveness.</w:t>
      </w:r>
    </w:p>
    <w:p>
      <w:pPr>
        <w:pStyle w:val="Heading2"/>
        <w:spacing w:before="200" w:after="100"/>
      </w:pPr>
      <w:r>
        <w:t xml:space="preserve">4.3 Contribution to Sustainability</w:t>
      </w:r>
    </w:p>
    <w:p>
      <w:r>
        <w:t xml:space="preserve">Beyond its direct educational impact, EduSage FX embodies a sustainable software design philosophy. The system runs entirely on-premises using open-source technologies (Spring Boot, MariaDB, JavaFX, Maven), eliminating dependency on costly proprietary platforms and making it viable for institutions in low-resource environments. The containerised MariaDB database (Docker) simplifies deployment and reduces infrastructure overhead. Because the client is a desktop application rather than a cloud service, institutions retain full data sovereignty — student performance data never leaves the institution’s network, addressing privacy and compliance concerns that often prevent schools in developing regions from adopting cloud-based EdTech solutions. The modular Maven multi-module architecture ensures the system can be extended with new features (mobile clients, ML-based predictions, parent portals) without discarding or rewriting the existing codebase, maximising long-term software sustainability.</w:t>
      </w:r>
    </w:p>
    <w:p>
      <w:pPr>
        <w:pStyle w:val="Heading1"/>
        <w:spacing w:before="240" w:after="120"/>
      </w:pPr>
      <w:r>
        <w:t xml:space="preserve">5. System Design and Architecture</w:t>
      </w:r>
    </w:p>
    <w:p>
      <w:pPr>
        <w:pStyle w:val="Heading2"/>
        <w:spacing w:before="200" w:after="100"/>
      </w:pPr>
      <w:r>
        <w:t xml:space="preserve">5.1 Technology Stack</w:t>
      </w:r>
    </w:p>
    <w:p>
      <w:pPr>
        <w:pStyle w:val="ListParagraph"/>
        <w:numPr>
          <w:ilvl w:val="0"/>
          <w:numId w:val="1"/>
        </w:numPr>
        <w:spacing w:after="80"/>
      </w:pPr>
      <w:r>
        <w:t xml:space="preserve">Presentation Layer   :  JavaFX 21.0.1 + FXML (desktop client)</w:t>
      </w:r>
    </w:p>
    <w:p>
      <w:pPr>
        <w:pStyle w:val="ListParagraph"/>
        <w:numPr>
          <w:ilvl w:val="0"/>
          <w:numId w:val="1"/>
        </w:numPr>
        <w:spacing w:after="80"/>
      </w:pPr>
      <w:r>
        <w:t xml:space="preserve">Business Logic Layer :  Spring Boot 3.2.0 REST API</w:t>
      </w:r>
    </w:p>
    <w:p>
      <w:pPr>
        <w:pStyle w:val="ListParagraph"/>
        <w:numPr>
          <w:ilvl w:val="0"/>
          <w:numId w:val="1"/>
        </w:numPr>
        <w:spacing w:after="80"/>
      </w:pPr>
      <w:r>
        <w:t xml:space="preserve">Security             :  Spring Security 6 + JWT (jjwt 0.11.5) + BCrypt</w:t>
      </w:r>
    </w:p>
    <w:p>
      <w:pPr>
        <w:pStyle w:val="ListParagraph"/>
        <w:numPr>
          <w:ilvl w:val="0"/>
          <w:numId w:val="1"/>
        </w:numPr>
        <w:spacing w:after="80"/>
      </w:pPr>
      <w:r>
        <w:t xml:space="preserve">Data Layer           :  Spring Data JPA + Hibernate + MariaDB 11.2</w:t>
      </w:r>
    </w:p>
    <w:p>
      <w:pPr>
        <w:pStyle w:val="ListParagraph"/>
        <w:numPr>
          <w:ilvl w:val="0"/>
          <w:numId w:val="1"/>
        </w:numPr>
        <w:spacing w:after="80"/>
      </w:pPr>
      <w:r>
        <w:t xml:space="preserve">HTTP Communication   :  Java 11 HttpClient + Jackson 2.15.2 (JSON)</w:t>
      </w:r>
    </w:p>
    <w:p>
      <w:pPr>
        <w:pStyle w:val="ListParagraph"/>
        <w:numPr>
          <w:ilvl w:val="0"/>
          <w:numId w:val="1"/>
        </w:numPr>
        <w:spacing w:after="80"/>
      </w:pPr>
      <w:r>
        <w:t xml:space="preserve">PDF Export           :  OpenPDF / iText</w:t>
      </w:r>
    </w:p>
    <w:p>
      <w:pPr>
        <w:pStyle w:val="ListParagraph"/>
        <w:numPr>
          <w:ilvl w:val="0"/>
          <w:numId w:val="1"/>
        </w:numPr>
        <w:spacing w:after="80"/>
      </w:pPr>
      <w:r>
        <w:t xml:space="preserve">Build System         :  Apache Maven 3 (multi-module)</w:t>
      </w:r>
    </w:p>
    <w:p>
      <w:pPr>
        <w:pStyle w:val="ListParagraph"/>
        <w:numPr>
          <w:ilvl w:val="0"/>
          <w:numId w:val="1"/>
        </w:numPr>
        <w:spacing w:after="80"/>
      </w:pPr>
      <w:r>
        <w:t xml:space="preserve">Runtime              :  Java 21 JDK</w:t>
      </w:r>
    </w:p>
    <w:p>
      <w:pPr>
        <w:pStyle w:val="ListParagraph"/>
        <w:numPr>
          <w:ilvl w:val="0"/>
          <w:numId w:val="1"/>
        </w:numPr>
        <w:spacing w:after="80"/>
      </w:pPr>
      <w:r>
        <w:t xml:space="preserve">Container            :  Docker (MariaDB only)</w:t>
      </w:r>
    </w:p>
    <w:p>
      <w:pPr>
        <w:pStyle w:val="Heading2"/>
        <w:spacing w:before="200" w:after="100"/>
      </w:pPr>
      <w:r>
        <w:t xml:space="preserve">5.2 Entity Relationship Summary</w:t>
      </w:r>
    </w:p>
    <w:p>
      <w:r>
        <w:t xml:space="preserve">The data model comprises nine JPA entities. User is the central identity record linked to role-specific Student or Teacher profiles via one-to-one foreign keys. Score records individual quiz attempt results per student, tagged with subject and date. Attendance tracks daily presence per student. Quiz and QuizQuestion form a parent-child relationship for assessment content. CounsellingSession records teacher-student welfare interventions with outcome classification. Content stores metadata for uploaded study materials. Roll numbers for new students are automatically assigned in the format STU-XXXX (zero-padded database ID) upon registration.</w:t>
      </w:r>
    </w:p>
    <w:p>
      <w:pPr>
        <w:pStyle w:val="Heading2"/>
        <w:spacing w:before="200" w:after="100"/>
      </w:pPr>
      <w:r>
        <w:t xml:space="preserve">5.3 Security Architecture</w:t>
      </w:r>
    </w:p>
    <w:p>
      <w:r>
        <w:t xml:space="preserve">All API endpoints are protected by a stateless JWT filter chain. JwtAuthFilter extends OncePerRequestFilter and is registered exclusively within the Spring Security filter chain (not as a standalone servlet filter) via a disabled FilterRegistrationBean, preventing double-invocation. Public endpoints (/api/auth/**, /error) are explicitly permitted. All other routes require a valid, non-expired JWT bearing the appropriate role claim.</w:t>
      </w:r>
    </w:p>
    <w:p>
      <w:pPr>
        <w:pStyle w:val="Heading1"/>
        <w:spacing w:before="240" w:after="120"/>
      </w:pPr>
      <w:r>
        <w:t xml:space="preserve">6. Key Features and Modules</w:t>
      </w:r>
    </w:p>
    <w:p>
      <w:pPr>
        <w:pStyle w:val="Heading2"/>
        <w:spacing w:before="200" w:after="100"/>
      </w:pPr>
      <w:r>
        <w:t xml:space="preserve">6.1 Student Module</w:t>
      </w:r>
    </w:p>
    <w:p>
      <w:pPr>
        <w:pStyle w:val="ListParagraph"/>
        <w:numPr>
          <w:ilvl w:val="0"/>
          <w:numId w:val="1"/>
        </w:numPr>
        <w:spacing w:after="80"/>
      </w:pPr>
      <w:r>
        <w:t xml:space="preserve">Seven real-time analytics metrics: overall average, moving average (last 5 scores), attendance percentage, improvement rate, risk level, subject-wise averages, score timeline.</w:t>
      </w:r>
    </w:p>
    <w:p>
      <w:pPr>
        <w:pStyle w:val="ListParagraph"/>
        <w:numPr>
          <w:ilvl w:val="0"/>
          <w:numId w:val="1"/>
        </w:numPr>
        <w:spacing w:after="80"/>
      </w:pPr>
      <w:r>
        <w:t xml:space="preserve">Interactive performance charts: line chart (score trend over time), bar chart (subject breakdown).</w:t>
      </w:r>
    </w:p>
    <w:p>
      <w:pPr>
        <w:pStyle w:val="ListParagraph"/>
        <w:numPr>
          <w:ilvl w:val="0"/>
          <w:numId w:val="1"/>
        </w:numPr>
        <w:spacing w:after="80"/>
      </w:pPr>
      <w:r>
        <w:t xml:space="preserve">Personalised recommendation cards generated by a four-rule recommendation engine.</w:t>
      </w:r>
    </w:p>
    <w:p>
      <w:pPr>
        <w:pStyle w:val="ListParagraph"/>
        <w:numPr>
          <w:ilvl w:val="0"/>
          <w:numId w:val="1"/>
        </w:numPr>
        <w:spacing w:after="80"/>
      </w:pPr>
      <w:r>
        <w:t xml:space="preserve">Quiz list with double-click to take; instant grading and percentage display.</w:t>
      </w:r>
    </w:p>
    <w:p>
      <w:pPr>
        <w:pStyle w:val="ListParagraph"/>
        <w:numPr>
          <w:ilvl w:val="0"/>
          <w:numId w:val="1"/>
        </w:numPr>
        <w:spacing w:after="80"/>
      </w:pPr>
      <w:r>
        <w:t xml:space="preserve">One-click PDF performance report download.</w:t>
      </w:r>
    </w:p>
    <w:p>
      <w:pPr>
        <w:pStyle w:val="Heading2"/>
        <w:spacing w:before="200" w:after="100"/>
      </w:pPr>
      <w:r>
        <w:t xml:space="preserve">6.2 Teacher Module</w:t>
      </w:r>
    </w:p>
    <w:p>
      <w:pPr>
        <w:pStyle w:val="ListParagraph"/>
        <w:numPr>
          <w:ilvl w:val="0"/>
          <w:numId w:val="1"/>
        </w:numPr>
        <w:spacing w:after="80"/>
      </w:pPr>
      <w:r>
        <w:t xml:space="preserve">Class overview table with sortable columns: name, roll number, average score, attendance, risk level.</w:t>
      </w:r>
    </w:p>
    <w:p>
      <w:pPr>
        <w:pStyle w:val="ListParagraph"/>
        <w:numPr>
          <w:ilvl w:val="0"/>
          <w:numId w:val="1"/>
        </w:numPr>
        <w:spacing w:after="80"/>
      </w:pPr>
      <w:r>
        <w:t xml:space="preserve">At-risk student count and total class size displayed as live summary labels.</w:t>
      </w:r>
    </w:p>
    <w:p>
      <w:pPr>
        <w:pStyle w:val="ListParagraph"/>
        <w:numPr>
          <w:ilvl w:val="0"/>
          <w:numId w:val="1"/>
        </w:numPr>
        <w:spacing w:after="80"/>
      </w:pPr>
      <w:r>
        <w:t xml:space="preserve">Student profile view: full analytics breakdown, subject scores, counselling session history, photo/initials avatar.</w:t>
      </w:r>
    </w:p>
    <w:p>
      <w:pPr>
        <w:pStyle w:val="ListParagraph"/>
        <w:numPr>
          <w:ilvl w:val="0"/>
          <w:numId w:val="1"/>
        </w:numPr>
        <w:spacing w:after="80"/>
      </w:pPr>
      <w:r>
        <w:t xml:space="preserve">Counselling session logger with outcome options: RESOLVED, ONGOING, REFERRED.</w:t>
      </w:r>
    </w:p>
    <w:p>
      <w:pPr>
        <w:pStyle w:val="ListParagraph"/>
        <w:numPr>
          <w:ilvl w:val="0"/>
          <w:numId w:val="1"/>
        </w:numPr>
        <w:spacing w:after="80"/>
      </w:pPr>
      <w:r>
        <w:t xml:space="preserve">Top-10 leaderboard popup ranked by overall average.</w:t>
      </w:r>
    </w:p>
    <w:p>
      <w:pPr>
        <w:pStyle w:val="Heading2"/>
        <w:spacing w:before="200" w:after="100"/>
      </w:pPr>
      <w:r>
        <w:t xml:space="preserve">6.3 Admin Module</w:t>
      </w:r>
    </w:p>
    <w:p>
      <w:pPr>
        <w:pStyle w:val="ListParagraph"/>
        <w:numPr>
          <w:ilvl w:val="0"/>
          <w:numId w:val="1"/>
        </w:numPr>
        <w:spacing w:after="80"/>
      </w:pPr>
      <w:r>
        <w:t xml:space="preserve">Institution-level stats cards: total students, total teachers, active users, at-risk count, system-wide average score, total quizzes.</w:t>
      </w:r>
    </w:p>
    <w:p>
      <w:pPr>
        <w:pStyle w:val="ListParagraph"/>
        <w:numPr>
          <w:ilvl w:val="0"/>
          <w:numId w:val="1"/>
        </w:numPr>
        <w:spacing w:after="80"/>
      </w:pPr>
      <w:r>
        <w:t xml:space="preserve">User management table with live search, activate/deactivate toggle, delete, and create-new-user actions.</w:t>
      </w:r>
    </w:p>
    <w:p>
      <w:pPr>
        <w:pStyle w:val="ListParagraph"/>
        <w:numPr>
          <w:ilvl w:val="0"/>
          <w:numId w:val="1"/>
        </w:numPr>
        <w:spacing w:after="80"/>
      </w:pPr>
      <w:r>
        <w:t xml:space="preserve">Student analytics table with search and double-click profile access.</w:t>
      </w:r>
    </w:p>
    <w:p>
      <w:pPr>
        <w:pStyle w:val="ListParagraph"/>
        <w:numPr>
          <w:ilvl w:val="0"/>
          <w:numId w:val="1"/>
        </w:numPr>
        <w:spacing w:after="80"/>
      </w:pPr>
      <w:r>
        <w:t xml:space="preserve">Role-based user creation (Student, Teacher, Admin) with auto-assigned student roll numbers.</w:t>
      </w:r>
    </w:p>
    <w:p>
      <w:pPr>
        <w:pStyle w:val="Heading1"/>
        <w:spacing w:before="240" w:after="120"/>
      </w:pPr>
      <w:r>
        <w:t xml:space="preserve">7. Setup and Installation Guide</w:t>
      </w:r>
    </w:p>
    <w:p>
      <w:pPr>
        <w:pStyle w:val="Heading2"/>
        <w:spacing w:before="200" w:after="100"/>
      </w:pPr>
      <w:r>
        <w:t xml:space="preserve">7.1 Prerequisites</w:t>
      </w:r>
    </w:p>
    <w:p>
      <w:pPr>
        <w:pStyle w:val="ListParagraph"/>
        <w:numPr>
          <w:ilvl w:val="0"/>
          <w:numId w:val="1"/>
        </w:numPr>
        <w:spacing w:after="80"/>
      </w:pPr>
      <w:r>
        <w:t xml:space="preserve">Java Development Kit (JDK) 21 or later</w:t>
      </w:r>
    </w:p>
    <w:p>
      <w:pPr>
        <w:pStyle w:val="ListParagraph"/>
        <w:numPr>
          <w:ilvl w:val="0"/>
          <w:numId w:val="1"/>
        </w:numPr>
        <w:spacing w:after="80"/>
      </w:pPr>
      <w:r>
        <w:t xml:space="preserve">Apache Maven 3.9 or later</w:t>
      </w:r>
    </w:p>
    <w:p>
      <w:pPr>
        <w:pStyle w:val="ListParagraph"/>
        <w:numPr>
          <w:ilvl w:val="0"/>
          <w:numId w:val="1"/>
        </w:numPr>
        <w:spacing w:after="80"/>
      </w:pPr>
      <w:r>
        <w:t xml:space="preserve">Docker 20 or later (for the MariaDB database container)</w:t>
      </w:r>
    </w:p>
    <w:p>
      <w:pPr>
        <w:pStyle w:val="Heading2"/>
        <w:spacing w:before="200" w:after="100"/>
      </w:pPr>
      <w:r>
        <w:t xml:space="preserve">7.2 Database Setup</w:t>
      </w:r>
    </w:p>
    <w:p>
      <w:r>
        <w:t xml:space="preserve">The application uses MariaDB 11.2 as its relational database, deployed via a Docker container for ease of setup. Run the following command to create and start the database container:</w:t>
      </w:r>
    </w:p>
    <w:p>
      <w:pPr>
        <w:pStyle w:val="CodeBlock"/>
        <w:spacing w:after="60"/>
      </w:pPr>
      <w:r>
        <w:rPr>
          <w:rFonts w:ascii="Consolas" w:hAnsi="Consolas" w:cs="Courier New"/>
          <w:sz w:val="20"/>
          <w:szCs w:val="20"/>
        </w:rPr>
        <w:t xml:space="preserve">docker run -d \</w:t>
      </w:r>
      <w:r>
        <w:br/>
      </w:r>
      <w:r>
        <w:rPr>
          <w:rFonts w:ascii="Consolas" w:hAnsi="Consolas" w:cs="Courier New"/>
          <w:sz w:val="20"/>
          <w:szCs w:val="20"/>
        </w:rPr>
        <w:t xml:space="preserve">  --name mariadb-dev \</w:t>
      </w:r>
      <w:r>
        <w:br/>
      </w:r>
      <w:r>
        <w:rPr>
          <w:rFonts w:ascii="Consolas" w:hAnsi="Consolas" w:cs="Courier New"/>
          <w:sz w:val="20"/>
          <w:szCs w:val="20"/>
        </w:rPr>
        <w:t xml:space="preserve">  -p 3306:3306 \</w:t>
      </w:r>
      <w:r>
        <w:br/>
      </w:r>
      <w:r>
        <w:rPr>
          <w:rFonts w:ascii="Consolas" w:hAnsi="Consolas" w:cs="Courier New"/>
          <w:sz w:val="20"/>
          <w:szCs w:val="20"/>
        </w:rPr>
        <w:t xml:space="preserve">  -e MYSQL_ROOT_PASSWORD=rootpassword \</w:t>
      </w:r>
      <w:r>
        <w:br/>
      </w:r>
      <w:r>
        <w:rPr>
          <w:rFonts w:ascii="Consolas" w:hAnsi="Consolas" w:cs="Courier New"/>
          <w:sz w:val="20"/>
          <w:szCs w:val="20"/>
        </w:rPr>
        <w:t xml:space="preserve">  -e MYSQL_DATABASE=edusage_db \</w:t>
      </w:r>
      <w:r>
        <w:br/>
      </w:r>
      <w:r>
        <w:rPr>
          <w:rFonts w:ascii="Consolas" w:hAnsi="Consolas" w:cs="Courier New"/>
          <w:sz w:val="20"/>
          <w:szCs w:val="20"/>
        </w:rPr>
        <w:t xml:space="preserve">  -e MYSQL_USER=edusage_user \</w:t>
      </w:r>
      <w:r>
        <w:br/>
      </w:r>
      <w:r>
        <w:rPr>
          <w:rFonts w:ascii="Consolas" w:hAnsi="Consolas" w:cs="Courier New"/>
          <w:sz w:val="20"/>
          <w:szCs w:val="20"/>
        </w:rPr>
        <w:t xml:space="preserve">  -e MYSQL_PASSWORD=EdusageFX@2025 \</w:t>
      </w:r>
      <w:r>
        <w:br/>
      </w:r>
      <w:r>
        <w:rPr>
          <w:rFonts w:ascii="Consolas" w:hAnsi="Consolas" w:cs="Courier New"/>
          <w:sz w:val="20"/>
          <w:szCs w:val="20"/>
        </w:rPr>
        <w:t xml:space="preserve">  mariadb:11.2</w:t>
      </w:r>
    </w:p>
    <w:p>
      <w:r>
        <w:t xml:space="preserve">If the container already exists but is stopped, restart it with:</w:t>
      </w:r>
    </w:p>
    <w:p>
      <w:pPr>
        <w:pStyle w:val="CodeBlock"/>
        <w:spacing w:after="60"/>
      </w:pPr>
      <w:r>
        <w:rPr>
          <w:rFonts w:ascii="Consolas" w:hAnsi="Consolas" w:cs="Courier New"/>
          <w:sz w:val="20"/>
          <w:szCs w:val="20"/>
        </w:rPr>
        <w:t xml:space="preserve">docker start mariadb-dev</w:t>
      </w:r>
    </w:p>
    <w:p>
      <w:r>
        <w:t xml:space="preserve">The backend is configured with spring.jpa.hibernate.ddl-auto=update, so all database tables are created automatically on the first startup. No manual SQL scripts are required.</w:t>
      </w:r>
    </w:p>
    <w:p>
      <w:pPr>
        <w:pStyle w:val="Heading2"/>
        <w:spacing w:before="200" w:after="100"/>
      </w:pPr>
      <w:r>
        <w:t xml:space="preserve">7.3 Building the Project</w:t>
      </w:r>
    </w:p>
    <w:p>
      <w:r>
        <w:t xml:space="preserve">From the project root directory, compile both backend and client modules using Maven:</w:t>
      </w:r>
    </w:p>
    <w:p>
      <w:pPr>
        <w:pStyle w:val="CodeBlock"/>
        <w:spacing w:after="60"/>
      </w:pPr>
      <w:r>
        <w:rPr>
          <w:rFonts w:ascii="Consolas" w:hAnsi="Consolas" w:cs="Courier New"/>
          <w:sz w:val="20"/>
          <w:szCs w:val="20"/>
        </w:rPr>
        <w:t xml:space="preserve">mvn clean compile</w:t>
      </w:r>
    </w:p>
    <w:p>
      <w:pPr>
        <w:pStyle w:val="Heading2"/>
        <w:spacing w:before="200" w:after="100"/>
      </w:pPr>
      <w:r>
        <w:t xml:space="preserve">7.4 Starting the Backend</w:t>
      </w:r>
    </w:p>
    <w:p>
      <w:r>
        <w:t xml:space="preserve">Start the Spring Boot REST API server:</w:t>
      </w:r>
    </w:p>
    <w:p>
      <w:pPr>
        <w:pStyle w:val="CodeBlock"/>
        <w:spacing w:after="60"/>
      </w:pPr>
      <w:r>
        <w:rPr>
          <w:rFonts w:ascii="Consolas" w:hAnsi="Consolas" w:cs="Courier New"/>
          <w:sz w:val="20"/>
          <w:szCs w:val="20"/>
        </w:rPr>
        <w:t xml:space="preserve">mvn spring-boot:run -f edusage-backend/pom.xml</w:t>
      </w:r>
    </w:p>
    <w:p>
      <w:r>
        <w:t xml:space="preserve">The backend starts on http://localhost:8080. Wait for the log message "Started EduSageApplication in X.XX seconds" before proceeding.</w:t>
      </w:r>
    </w:p>
    <w:p>
      <w:pPr>
        <w:pStyle w:val="Heading2"/>
        <w:spacing w:before="200" w:after="100"/>
      </w:pPr>
      <w:r>
        <w:t xml:space="preserve">7.5 Starting the Client</w:t>
      </w:r>
    </w:p>
    <w:p>
      <w:r>
        <w:t xml:space="preserve">In a separate terminal, launch the JavaFX desktop client:</w:t>
      </w:r>
    </w:p>
    <w:p>
      <w:pPr>
        <w:pStyle w:val="CodeBlock"/>
        <w:spacing w:after="60"/>
      </w:pPr>
      <w:r>
        <w:rPr>
          <w:rFonts w:ascii="Consolas" w:hAnsi="Consolas" w:cs="Courier New"/>
          <w:sz w:val="20"/>
          <w:szCs w:val="20"/>
        </w:rPr>
        <w:t xml:space="preserve">mvn javafx:run -f edusage-client/pom.xml</w:t>
      </w:r>
    </w:p>
    <w:p>
      <w:r>
        <w:t xml:space="preserve">The application window opens with the login screen. Use one of the test accounts below or register a new user via the registration form.</w:t>
      </w:r>
    </w:p>
    <w:p>
      <w:pPr>
        <w:pStyle w:val="Heading2"/>
        <w:spacing w:before="200" w:after="100"/>
      </w:pPr>
      <w:r>
        <w:t xml:space="preserve">7.6 Test Accounts</w:t>
      </w:r>
    </w:p>
    <w:p>
      <w:pPr>
        <w:pStyle w:val="ListParagraph"/>
        <w:numPr>
          <w:ilvl w:val="0"/>
          <w:numId w:val="1"/>
        </w:numPr>
        <w:spacing w:after="80"/>
      </w:pPr>
      <w:r>
        <w:t xml:space="preserve">admin@edusage.com    / pass123  —  Admin role</w:t>
      </w:r>
    </w:p>
    <w:p>
      <w:pPr>
        <w:pStyle w:val="ListParagraph"/>
        <w:numPr>
          <w:ilvl w:val="0"/>
          <w:numId w:val="1"/>
        </w:numPr>
        <w:spacing w:after="80"/>
      </w:pPr>
      <w:r>
        <w:t xml:space="preserve">teacher@edusage.com  / pass123  —  Teacher role</w:t>
      </w:r>
    </w:p>
    <w:p>
      <w:pPr>
        <w:pStyle w:val="ListParagraph"/>
        <w:numPr>
          <w:ilvl w:val="0"/>
          <w:numId w:val="1"/>
        </w:numPr>
        <w:spacing w:after="80"/>
      </w:pPr>
      <w:r>
        <w:t xml:space="preserve">student@edusage.com  / pass123  —  Student role</w:t>
      </w:r>
    </w:p>
    <w:p>
      <w:pPr>
        <w:pStyle w:val="Heading2"/>
        <w:spacing w:before="200" w:after="100"/>
      </w:pPr>
      <w:r>
        <w:t xml:space="preserve">7.7 Configuration Reference</w:t>
      </w:r>
    </w:p>
    <w:p>
      <w:r>
        <w:t xml:space="preserve">All backend settings are in edusage-backend/src/main/resources/application.properties:</w:t>
      </w:r>
    </w:p>
    <w:p>
      <w:pPr>
        <w:pStyle w:val="ListParagraph"/>
        <w:numPr>
          <w:ilvl w:val="0"/>
          <w:numId w:val="1"/>
        </w:numPr>
        <w:spacing w:after="80"/>
      </w:pPr>
      <w:r>
        <w:t xml:space="preserve">server.port = 8080  —  Backend API port</w:t>
      </w:r>
    </w:p>
    <w:p>
      <w:pPr>
        <w:pStyle w:val="ListParagraph"/>
        <w:numPr>
          <w:ilvl w:val="0"/>
          <w:numId w:val="1"/>
        </w:numPr>
        <w:spacing w:after="80"/>
      </w:pPr>
      <w:r>
        <w:t xml:space="preserve">spring.datasource.url = jdbc:mysql://localhost:3306/edusage_db  —  Database connection URL</w:t>
      </w:r>
    </w:p>
    <w:p>
      <w:pPr>
        <w:pStyle w:val="ListParagraph"/>
        <w:numPr>
          <w:ilvl w:val="0"/>
          <w:numId w:val="1"/>
        </w:numPr>
        <w:spacing w:after="80"/>
      </w:pPr>
      <w:r>
        <w:t xml:space="preserve">spring.datasource.username = edusage_user  —  Database username</w:t>
      </w:r>
    </w:p>
    <w:p>
      <w:pPr>
        <w:pStyle w:val="ListParagraph"/>
        <w:numPr>
          <w:ilvl w:val="0"/>
          <w:numId w:val="1"/>
        </w:numPr>
        <w:spacing w:after="80"/>
      </w:pPr>
      <w:r>
        <w:t xml:space="preserve">spring.datasource.password = EdusageFX@2025  —  Database password</w:t>
      </w:r>
    </w:p>
    <w:p>
      <w:pPr>
        <w:pStyle w:val="ListParagraph"/>
        <w:numPr>
          <w:ilvl w:val="0"/>
          <w:numId w:val="1"/>
        </w:numPr>
        <w:spacing w:after="80"/>
      </w:pPr>
      <w:r>
        <w:t xml:space="preserve">jwt.secret = (32+ character signing key)  —  JWT token signing secret</w:t>
      </w:r>
    </w:p>
    <w:p>
      <w:pPr>
        <w:pStyle w:val="ListParagraph"/>
        <w:numPr>
          <w:ilvl w:val="0"/>
          <w:numId w:val="1"/>
        </w:numPr>
        <w:spacing w:after="80"/>
      </w:pPr>
      <w:r>
        <w:t xml:space="preserve">jwt.expiration = 86400000  —  Token expiry in milliseconds (24 hours)</w:t>
      </w:r>
    </w:p>
    <w:p>
      <w:pPr>
        <w:pStyle w:val="ListParagraph"/>
        <w:numPr>
          <w:ilvl w:val="0"/>
          <w:numId w:val="1"/>
        </w:numPr>
        <w:spacing w:after="80"/>
      </w:pPr>
      <w:r>
        <w:t xml:space="preserve">app.upload.dir = ./uploads  —  File upload directory</w:t>
      </w:r>
    </w:p>
    <w:p>
      <w:r>
        <w:t xml:space="preserve">The client connects to http://localhost:8080/api as configured in the ApiService class.</w:t>
      </w:r>
    </w:p>
    <w:p>
      <w:pPr>
        <w:pStyle w:val="Heading2"/>
        <w:spacing w:before="200" w:after="100"/>
      </w:pPr>
      <w:r>
        <w:t xml:space="preserve">7.8 Running Tests</w:t>
      </w:r>
    </w:p>
    <w:p>
      <w:r>
        <w:t xml:space="preserve">Execute the backend unit test suite with:</w:t>
      </w:r>
    </w:p>
    <w:p>
      <w:pPr>
        <w:pStyle w:val="CodeBlock"/>
        <w:spacing w:after="60"/>
      </w:pPr>
      <w:r>
        <w:rPr>
          <w:rFonts w:ascii="Consolas" w:hAnsi="Consolas" w:cs="Courier New"/>
          <w:sz w:val="20"/>
          <w:szCs w:val="20"/>
        </w:rPr>
        <w:t xml:space="preserve">mvn test -f edusage-backend/pom.xml</w:t>
      </w:r>
    </w:p>
    <w:p>
      <w:r>
        <w:t xml:space="preserve">This runs 21 JUnit 5 tests covering the AnalyticsService (seven metric calculations) and RecommendationService (four rule triggers). All tests use Mockito to isolate service logic from the database layer.</w:t>
      </w:r>
    </w:p>
    <w:p>
      <w:pPr>
        <w:pStyle w:val="Heading2"/>
        <w:spacing w:before="200" w:after="100"/>
      </w:pPr>
      <w:r>
        <w:t xml:space="preserve">7.9 Project Directory Structure</w:t>
      </w:r>
    </w:p>
    <w:p>
      <w:pPr>
        <w:pStyle w:val="CodeBlock"/>
        <w:spacing w:after="60"/>
      </w:pPr>
      <w:r>
        <w:rPr>
          <w:rFonts w:ascii="Consolas" w:hAnsi="Consolas" w:cs="Courier New"/>
          <w:sz w:val="20"/>
          <w:szCs w:val="20"/>
        </w:rPr>
        <w:t xml:space="preserve">EduSageFX/</w:t>
      </w:r>
      <w:r>
        <w:br/>
      </w:r>
      <w:r>
        <w:rPr>
          <w:rFonts w:ascii="Consolas" w:hAnsi="Consolas" w:cs="Courier New"/>
          <w:sz w:val="20"/>
          <w:szCs w:val="20"/>
        </w:rPr>
        <w:t xml:space="preserve">├── pom.xml                          # Parent POM (multi-module)</w:t>
      </w:r>
      <w:r>
        <w:br/>
      </w:r>
      <w:r>
        <w:rPr>
          <w:rFonts w:ascii="Consolas" w:hAnsi="Consolas" w:cs="Courier New"/>
          <w:sz w:val="20"/>
          <w:szCs w:val="20"/>
        </w:rPr>
        <w:t xml:space="preserve">├── edusage-backend/                 # Spring Boot REST API</w:t>
      </w:r>
      <w:r>
        <w:br/>
      </w:r>
      <w:r>
        <w:rPr>
          <w:rFonts w:ascii="Consolas" w:hAnsi="Consolas" w:cs="Courier New"/>
          <w:sz w:val="20"/>
          <w:szCs w:val="20"/>
        </w:rPr>
        <w:t xml:space="preserve">│   ├── pom.xml</w:t>
      </w:r>
      <w:r>
        <w:br/>
      </w:r>
      <w:r>
        <w:rPr>
          <w:rFonts w:ascii="Consolas" w:hAnsi="Consolas" w:cs="Courier New"/>
          <w:sz w:val="20"/>
          <w:szCs w:val="20"/>
        </w:rPr>
        <w:t xml:space="preserve">│   └── src/main/java/com/edusage/</w:t>
      </w:r>
      <w:r>
        <w:br/>
      </w:r>
      <w:r>
        <w:rPr>
          <w:rFonts w:ascii="Consolas" w:hAnsi="Consolas" w:cs="Courier New"/>
          <w:sz w:val="20"/>
          <w:szCs w:val="20"/>
        </w:rPr>
        <w:t xml:space="preserve">│       ├── config/                  # SecurityConfig, CorsConfig</w:t>
      </w:r>
      <w:r>
        <w:br/>
      </w:r>
      <w:r>
        <w:rPr>
          <w:rFonts w:ascii="Consolas" w:hAnsi="Consolas" w:cs="Courier New"/>
          <w:sz w:val="20"/>
          <w:szCs w:val="20"/>
        </w:rPr>
        <w:t xml:space="preserve">│       ├── controller/              # Auth, Student, Teacher, Admin, Quiz, Content</w:t>
      </w:r>
      <w:r>
        <w:br/>
      </w:r>
      <w:r>
        <w:rPr>
          <w:rFonts w:ascii="Consolas" w:hAnsi="Consolas" w:cs="Courier New"/>
          <w:sz w:val="20"/>
          <w:szCs w:val="20"/>
        </w:rPr>
        <w:t xml:space="preserve">│       ├── dto/                     # Request/Response DTOs</w:t>
      </w:r>
      <w:r>
        <w:br/>
      </w:r>
      <w:r>
        <w:rPr>
          <w:rFonts w:ascii="Consolas" w:hAnsi="Consolas" w:cs="Courier New"/>
          <w:sz w:val="20"/>
          <w:szCs w:val="20"/>
        </w:rPr>
        <w:t xml:space="preserve">│       ├── model/                   # JPA entities + enums</w:t>
      </w:r>
      <w:r>
        <w:br/>
      </w:r>
      <w:r>
        <w:rPr>
          <w:rFonts w:ascii="Consolas" w:hAnsi="Consolas" w:cs="Courier New"/>
          <w:sz w:val="20"/>
          <w:szCs w:val="20"/>
        </w:rPr>
        <w:t xml:space="preserve">│       ├── repository/              # Spring Data JPA repositories</w:t>
      </w:r>
      <w:r>
        <w:br/>
      </w:r>
      <w:r>
        <w:rPr>
          <w:rFonts w:ascii="Consolas" w:hAnsi="Consolas" w:cs="Courier New"/>
          <w:sz w:val="20"/>
          <w:szCs w:val="20"/>
        </w:rPr>
        <w:t xml:space="preserve">│       ├── security/                # JWT filter, util, UserDetailsService</w:t>
      </w:r>
      <w:r>
        <w:br/>
      </w:r>
      <w:r>
        <w:rPr>
          <w:rFonts w:ascii="Consolas" w:hAnsi="Consolas" w:cs="Courier New"/>
          <w:sz w:val="20"/>
          <w:szCs w:val="20"/>
        </w:rPr>
        <w:t xml:space="preserve">│       └── service/                 # Analytics, Auth, Quiz, Recommendation, PDF</w:t>
      </w:r>
      <w:r>
        <w:br/>
      </w:r>
      <w:r>
        <w:rPr>
          <w:rFonts w:ascii="Consolas" w:hAnsi="Consolas" w:cs="Courier New"/>
          <w:sz w:val="20"/>
          <w:szCs w:val="20"/>
        </w:rPr>
        <w:t xml:space="preserve">└── edusage-client/                  # JavaFX desktop client</w:t>
      </w:r>
      <w:r>
        <w:br/>
      </w:r>
      <w:r>
        <w:rPr>
          <w:rFonts w:ascii="Consolas" w:hAnsi="Consolas" w:cs="Courier New"/>
          <w:sz w:val="20"/>
          <w:szCs w:val="20"/>
        </w:rPr>
        <w:t xml:space="preserve">    ├── pom.xml</w:t>
      </w:r>
      <w:r>
        <w:br/>
      </w:r>
      <w:r>
        <w:rPr>
          <w:rFonts w:ascii="Consolas" w:hAnsi="Consolas" w:cs="Courier New"/>
          <w:sz w:val="20"/>
          <w:szCs w:val="20"/>
        </w:rPr>
        <w:t xml:space="preserve">    └── src/main/</w:t>
      </w:r>
      <w:r>
        <w:br/>
      </w:r>
      <w:r>
        <w:rPr>
          <w:rFonts w:ascii="Consolas" w:hAnsi="Consolas" w:cs="Courier New"/>
          <w:sz w:val="20"/>
          <w:szCs w:val="20"/>
        </w:rPr>
        <w:t xml:space="preserve">        ├── java/com/edusage/client/</w:t>
      </w:r>
      <w:r>
        <w:br/>
      </w:r>
      <w:r>
        <w:rPr>
          <w:rFonts w:ascii="Consolas" w:hAnsi="Consolas" w:cs="Courier New"/>
          <w:sz w:val="20"/>
          <w:szCs w:val="20"/>
        </w:rPr>
        <w:t xml:space="preserve">        │   ├── controller/          # FXML controllers</w:t>
      </w:r>
      <w:r>
        <w:br/>
      </w:r>
      <w:r>
        <w:rPr>
          <w:rFonts w:ascii="Consolas" w:hAnsi="Consolas" w:cs="Courier New"/>
          <w:sz w:val="20"/>
          <w:szCs w:val="20"/>
        </w:rPr>
        <w:t xml:space="preserve">        │   ├── model/               # UserSession singleton</w:t>
      </w:r>
      <w:r>
        <w:br/>
      </w:r>
      <w:r>
        <w:rPr>
          <w:rFonts w:ascii="Consolas" w:hAnsi="Consolas" w:cs="Courier New"/>
          <w:sz w:val="20"/>
          <w:szCs w:val="20"/>
        </w:rPr>
        <w:t xml:space="preserve">        │   ├── service/             # ApiService (HTTP client)</w:t>
      </w:r>
      <w:r>
        <w:br/>
      </w:r>
      <w:r>
        <w:rPr>
          <w:rFonts w:ascii="Consolas" w:hAnsi="Consolas" w:cs="Courier New"/>
          <w:sz w:val="20"/>
          <w:szCs w:val="20"/>
        </w:rPr>
        <w:t xml:space="preserve">        │   └── util/                # SceneManager</w:t>
      </w:r>
      <w:r>
        <w:br/>
      </w:r>
      <w:r>
        <w:rPr>
          <w:rFonts w:ascii="Consolas" w:hAnsi="Consolas" w:cs="Courier New"/>
          <w:sz w:val="20"/>
          <w:szCs w:val="20"/>
        </w:rPr>
        <w:t xml:space="preserve">        └── resources/</w:t>
      </w:r>
      <w:r>
        <w:br/>
      </w:r>
      <w:r>
        <w:rPr>
          <w:rFonts w:ascii="Consolas" w:hAnsi="Consolas" w:cs="Courier New"/>
          <w:sz w:val="20"/>
          <w:szCs w:val="20"/>
        </w:rPr>
        <w:t xml:space="preserve">            ├── css/                 # Stylesheet</w:t>
      </w:r>
      <w:r>
        <w:br/>
      </w:r>
      <w:r>
        <w:rPr>
          <w:rFonts w:ascii="Consolas" w:hAnsi="Consolas" w:cs="Courier New"/>
          <w:sz w:val="20"/>
          <w:szCs w:val="20"/>
        </w:rPr>
        <w:t xml:space="preserve">            └── fxml/                # UI layouts</w:t>
      </w:r>
    </w:p>
    <w:p>
      <w:pPr>
        <w:pStyle w:val="Heading1"/>
        <w:spacing w:before="240" w:after="120"/>
      </w:pPr>
      <w:r>
        <w:t xml:space="preserve">8. Testing and Validation</w:t>
      </w:r>
    </w:p>
    <w:p>
      <w:r>
        <w:t xml:space="preserve">The backend service layer includes 21 JUnit 5 unit tests covering AnalyticsService (seven metric calculations) and RecommendationService (four rule triggers). Tests use Mockito to isolate service logic from the database layer. All 21 tests pass on a clean Maven build.</w:t>
      </w:r>
    </w:p>
    <w:p>
      <w:r>
        <w:t xml:space="preserve">End-to-end integration was validated using curl and the running application against three seeded test accounts: admin@edusage.com (ADMIN), teacher@edusage.com (TEACHER, teacherId=1), and student@edusage.com (STUDENT, studentId=1). All three role-based login flows, dashboard loads, analytics computations, quiz workflows, and PDF export were confirmed functional.</w:t>
      </w:r>
    </w:p>
    <w:p>
      <w:r>
        <w:t xml:space="preserve">A ConnectException null-message bug — where Java 21’s HttpClient throws a ConnectException with a null getMessage() value when the backend is unreachable, causing the UI to display ‘Login failed: null’ — was identified and resolved by wrapping ConnectException in ApiService with an explicit, descriptive IOException message.</w:t>
      </w:r>
    </w:p>
    <w:p>
      <w:pPr>
        <w:pStyle w:val="Heading1"/>
        <w:spacing w:before="240" w:after="120"/>
      </w:pPr>
      <w:r>
        <w:t xml:space="preserve">9. Conclusion</w:t>
      </w:r>
    </w:p>
    <w:p>
      <w:r>
        <w:t xml:space="preserve">EduSage FX demonstrates that a well-architected, open-source desktop application can deliver meaningful educational analytics without relying on expensive cloud platforms. The project successfully applies four core curriculum concepts — object-oriented programming, multi-tier client-server architecture, relational database management, and application security — in an integrated, production-quality system.</w:t>
      </w:r>
    </w:p>
    <w:p>
      <w:r>
        <w:t xml:space="preserve">By enabling early identification of at-risk students, democratising access to personalised academic feedback, and reducing teacher administrative burden, EduSage FX makes a tangible contribution to UN Sustainable Development Goal 4: Quality Education. The system’s on-premises, open-source design ensures it is financially accessible to institutions in resource-constrained environments, maximising its potential social impact.</w:t>
      </w:r>
    </w:p>
    <w:p>
      <w:r>
        <w:t xml:space="preserve">Future development directions include machine learning-based grade prediction, email alert notifications for high-risk student events, a parent read-only portal, and multi-institution multi-tenant support — all of which can be layered on the existing modular architecture without architectural rework.</w:t>
      </w:r>
    </w:p>
    <w:p>
      <w:pPr>
        <w:pStyle w:val="Heading1"/>
        <w:spacing w:before="240" w:after="120"/>
      </w:pPr>
      <w:r>
        <w:t xml:space="preserve">References</w:t>
      </w:r>
    </w:p>
    <w:p>
      <w:pPr>
        <w:pStyle w:val="ListParagraph"/>
        <w:numPr>
          <w:ilvl w:val="0"/>
          <w:numId w:val="1"/>
        </w:numPr>
        <w:spacing w:after="80"/>
      </w:pPr>
      <w:r>
        <w:t xml:space="preserve">United Nations (2015). Transforming our world: the 2030 Agenda for Sustainable Development. UN General Assembly Resolution A/RES/70/1.</w:t>
      </w:r>
    </w:p>
    <w:p>
      <w:pPr>
        <w:pStyle w:val="ListParagraph"/>
        <w:numPr>
          <w:ilvl w:val="0"/>
          <w:numId w:val="1"/>
        </w:numPr>
        <w:spacing w:after="80"/>
      </w:pPr>
      <w:r>
        <w:t xml:space="preserve">UNESCO (2023). Global Education Monitoring Report 2023: Technology in education. UNESCO Publishing.</w:t>
      </w:r>
    </w:p>
    <w:p>
      <w:pPr>
        <w:pStyle w:val="ListParagraph"/>
        <w:numPr>
          <w:ilvl w:val="0"/>
          <w:numId w:val="1"/>
        </w:numPr>
        <w:spacing w:after="80"/>
      </w:pPr>
      <w:r>
        <w:t xml:space="preserve">Spring Framework Documentation (2024). Spring Boot 3.2 Reference Guide. https://docs.spring.io/spring-boot/docs/3.2.0/reference/html/</w:t>
      </w:r>
    </w:p>
    <w:p>
      <w:pPr>
        <w:pStyle w:val="ListParagraph"/>
        <w:numPr>
          <w:ilvl w:val="0"/>
          <w:numId w:val="1"/>
        </w:numPr>
        <w:spacing w:after="80"/>
      </w:pPr>
      <w:r>
        <w:t xml:space="preserve">OpenJFX (2023). JavaFX 21 API Documentation. https://openjfx.io/javadoc/21/</w:t>
      </w:r>
    </w:p>
    <w:p>
      <w:pPr>
        <w:pStyle w:val="ListParagraph"/>
        <w:numPr>
          <w:ilvl w:val="0"/>
          <w:numId w:val="1"/>
        </w:numPr>
        <w:spacing w:after="80"/>
      </w:pPr>
      <w:r>
        <w:t xml:space="preserve">OWASP (2023). JSON Web Token Cheat Sheet. OWASP Foundation. https://cheatsheetseries.owasp.org/cheatsheets/JSON_Web_Token_for_Java_Cheat_Sheet.html</w:t>
      </w:r>
    </w:p>
    <w:p>
      <w:pPr>
        <w:pStyle w:val="ListParagraph"/>
        <w:numPr>
          <w:ilvl w:val="0"/>
          <w:numId w:val="1"/>
        </w:numPr>
        <w:spacing w:after="80"/>
      </w:pPr>
      <w:r>
        <w:t xml:space="preserve">Gamma, S., Helm, R., Johnson, R., Vlissides, J. (1994). Design Patterns: Elements of Reusable Object-Oriented Software. Addison-Wesley.</w:t>
      </w:r>
    </w:p>
    <w:p>
      <w:pPr>
        <w:pStyle w:val="ListParagraph"/>
        <w:numPr>
          <w:ilvl w:val="0"/>
          <w:numId w:val="1"/>
        </w:numPr>
        <w:spacing w:after="80"/>
      </w:pPr>
      <w:r>
        <w:t xml:space="preserve">Fowler, M. (2002). Patterns of Enterprise Application Architecture. Addison-Wesley.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Symbol" w:hAnsi="Symbol" w:hint="default"/>
      </w:r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4"/>
        <w:szCs w:val="24"/>
        <w:lang w:val="en-US"/>
      </w:rPr>
    </w:rPrDefault>
  </w:docDefaults>
  <w:style w:type="paragraph" w:styleId="Normal" w:default="1">
    <w:name w:val="Normal"/>
    <w:pPr>
      <w:spacing w:after="160"/>
    </w:pPr>
  </w:style>
  <w:style w:type="paragraph" w:styleId="Heading1">
    <w:name w:val="heading 1"/>
    <w:basedOn w:val="Normal"/>
    <w:pPr>
      <w:spacing w:before="360" w:after="120"/>
      <w:jc w:val="left"/>
    </w:pPr>
    <w:rPr>
      <w:rFonts w:ascii="Calibri" w:hAnsi="Calibri"/>
      <w:b/>
      <w:bCs/>
      <w:sz w:val="36"/>
      <w:szCs w:val="36"/>
      <w:color w:val="1A56A0"/>
    </w:rPr>
  </w:style>
  <w:style w:type="paragraph" w:styleId="Heading2">
    <w:name w:val="heading 2"/>
    <w:basedOn w:val="Normal"/>
    <w:pPr>
      <w:spacing w:before="240" w:after="80"/>
    </w:pPr>
    <w:rPr>
      <w:rFonts w:ascii="Calibri" w:hAnsi="Calibri"/>
      <w:b/>
      <w:bCs/>
      <w:sz w:val="28"/>
      <w:szCs w:val="28"/>
      <w:color w:val="2E5A9C"/>
    </w:rPr>
  </w:style>
  <w:style w:type="paragraph" w:styleId="ListParagraph">
    <w:name w:val="List Paragraph"/>
    <w:basedOn w:val="Normal"/>
    <w:pPr>
      <w:ind w:left="720"/>
      <w:spacing w:after="80"/>
    </w:pPr>
  </w:style>
  <w:style w:type="paragraph" w:styleId="CodeBlock">
    <w:name w:val="Code Block"/>
    <w:basedOn w:val="Normal"/>
    <w:pPr>
      <w:shd w:val="clear" w:color="auto" w:fill="F3F4F6"/>
      <w:ind w:left="360" w:right="360"/>
      <w:spacing w:before="80" w:after="80"/>
    </w:pPr>
    <w:rPr>
      <w:rFonts w:ascii="Consolas" w:hAnsi="Consolas" w:cs="Courier New"/>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