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0378" w14:textId="6184BE91" w:rsidR="000727DF" w:rsidRPr="00404D22" w:rsidRDefault="006633A3" w:rsidP="00B6363E">
      <w:pPr>
        <w:pStyle w:val="Heading1"/>
        <w:jc w:val="center"/>
      </w:pPr>
      <w:r w:rsidRPr="00404D22">
        <w:t>Bathing-Water</w:t>
      </w:r>
      <w:r w:rsidR="00347F80" w:rsidRPr="00404D22">
        <w:t xml:space="preserve"> </w:t>
      </w:r>
      <w:r w:rsidRPr="00404D22">
        <w:t>Risk Model</w:t>
      </w:r>
      <w:r w:rsidR="005F3D6A" w:rsidRPr="00404D22">
        <w:t xml:space="preserve"> (B-</w:t>
      </w:r>
      <w:proofErr w:type="spellStart"/>
      <w:r w:rsidR="005F3D6A" w:rsidRPr="00404D22">
        <w:t>WaRM</w:t>
      </w:r>
      <w:proofErr w:type="spellEnd"/>
      <w:r w:rsidR="00347F80" w:rsidRPr="00404D22">
        <w:t>)</w:t>
      </w:r>
    </w:p>
    <w:p w14:paraId="4D76D5E9" w14:textId="77777777" w:rsidR="00584912" w:rsidRDefault="00584912" w:rsidP="00404D22">
      <w:pPr>
        <w:spacing w:line="240" w:lineRule="auto"/>
        <w:contextualSpacing/>
        <w:rPr>
          <w:rFonts w:ascii="Arial" w:hAnsi="Arial" w:cs="Arial"/>
          <w:sz w:val="20"/>
          <w:szCs w:val="20"/>
        </w:rPr>
      </w:pPr>
    </w:p>
    <w:p w14:paraId="5FB1B419" w14:textId="6E51A6BF" w:rsidR="00ED65E0" w:rsidRPr="00404D22" w:rsidRDefault="00576E9E" w:rsidP="00404D22">
      <w:pPr>
        <w:spacing w:line="240" w:lineRule="auto"/>
        <w:contextualSpacing/>
        <w:rPr>
          <w:rFonts w:ascii="Arial" w:hAnsi="Arial" w:cs="Arial"/>
          <w:sz w:val="20"/>
          <w:szCs w:val="20"/>
        </w:rPr>
      </w:pPr>
      <w:r w:rsidRPr="00404D22">
        <w:rPr>
          <w:rFonts w:ascii="Arial" w:hAnsi="Arial" w:cs="Arial"/>
          <w:sz w:val="20"/>
          <w:szCs w:val="20"/>
        </w:rPr>
        <w:t xml:space="preserve">This guide explains what the workbook </w:t>
      </w:r>
      <w:r w:rsidR="00347F80" w:rsidRPr="00404D22">
        <w:rPr>
          <w:rFonts w:ascii="Arial" w:hAnsi="Arial" w:cs="Arial"/>
          <w:sz w:val="20"/>
          <w:szCs w:val="20"/>
        </w:rPr>
        <w:t>“Bathing-Water Risk Model” (B-</w:t>
      </w:r>
      <w:proofErr w:type="spellStart"/>
      <w:r w:rsidR="00347F80" w:rsidRPr="00404D22">
        <w:rPr>
          <w:rFonts w:ascii="Arial" w:hAnsi="Arial" w:cs="Arial"/>
          <w:sz w:val="20"/>
          <w:szCs w:val="20"/>
        </w:rPr>
        <w:t>WaRM</w:t>
      </w:r>
      <w:proofErr w:type="spellEnd"/>
      <w:r w:rsidR="00347F80" w:rsidRPr="00404D22">
        <w:rPr>
          <w:rFonts w:ascii="Arial" w:hAnsi="Arial" w:cs="Arial"/>
          <w:sz w:val="20"/>
          <w:szCs w:val="20"/>
        </w:rPr>
        <w:t xml:space="preserve">) </w:t>
      </w:r>
      <w:r w:rsidRPr="00404D22">
        <w:rPr>
          <w:rFonts w:ascii="Arial" w:hAnsi="Arial" w:cs="Arial"/>
          <w:sz w:val="20"/>
          <w:szCs w:val="20"/>
        </w:rPr>
        <w:t>aims to do, how to use it, what each tab means, how the scores are produced, and how to interpret the outputs.</w:t>
      </w:r>
    </w:p>
    <w:p w14:paraId="173ACF0D" w14:textId="48C243D9" w:rsidR="006E4084"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 xml:space="preserve">The workbook is designed to answer: </w:t>
      </w:r>
    </w:p>
    <w:p w14:paraId="5E2714A7" w14:textId="77777777" w:rsidR="00ED65E0" w:rsidRPr="00404D22" w:rsidRDefault="00ED65E0" w:rsidP="00404D22">
      <w:pPr>
        <w:spacing w:line="240" w:lineRule="auto"/>
        <w:contextualSpacing/>
        <w:rPr>
          <w:rFonts w:ascii="Arial" w:hAnsi="Arial" w:cs="Arial"/>
          <w:sz w:val="20"/>
          <w:szCs w:val="20"/>
        </w:rPr>
      </w:pPr>
      <w:r w:rsidRPr="00404D22">
        <w:rPr>
          <w:rFonts w:ascii="Arial" w:hAnsi="Arial" w:cs="Arial"/>
          <w:sz w:val="20"/>
          <w:szCs w:val="20"/>
        </w:rPr>
        <w:t>The workbook shows:</w:t>
      </w:r>
    </w:p>
    <w:p w14:paraId="1C50360B" w14:textId="77777777" w:rsidR="00ED65E0" w:rsidRPr="00404D22" w:rsidRDefault="00ED65E0" w:rsidP="00404D22">
      <w:pPr>
        <w:pStyle w:val="ListParagraph"/>
        <w:numPr>
          <w:ilvl w:val="0"/>
          <w:numId w:val="11"/>
        </w:numPr>
        <w:spacing w:line="240" w:lineRule="auto"/>
        <w:rPr>
          <w:rFonts w:ascii="Arial" w:hAnsi="Arial" w:cs="Arial"/>
          <w:sz w:val="20"/>
          <w:szCs w:val="20"/>
        </w:rPr>
      </w:pPr>
      <w:r w:rsidRPr="00404D22">
        <w:rPr>
          <w:rFonts w:ascii="Arial" w:hAnsi="Arial" w:cs="Arial"/>
          <w:sz w:val="20"/>
          <w:szCs w:val="20"/>
        </w:rPr>
        <w:t xml:space="preserve">A ranked list of bathing-water pathogens and hazards. </w:t>
      </w:r>
    </w:p>
    <w:p w14:paraId="4C3602A3" w14:textId="77777777" w:rsidR="00ED65E0" w:rsidRPr="00404D22" w:rsidRDefault="00ED65E0" w:rsidP="00404D22">
      <w:pPr>
        <w:pStyle w:val="ListParagraph"/>
        <w:numPr>
          <w:ilvl w:val="0"/>
          <w:numId w:val="11"/>
        </w:numPr>
        <w:spacing w:line="240" w:lineRule="auto"/>
        <w:rPr>
          <w:rFonts w:ascii="Arial" w:hAnsi="Arial" w:cs="Arial"/>
          <w:sz w:val="20"/>
          <w:szCs w:val="20"/>
        </w:rPr>
      </w:pPr>
      <w:r w:rsidRPr="00404D22">
        <w:rPr>
          <w:rFonts w:ascii="Arial" w:hAnsi="Arial" w:cs="Arial"/>
          <w:sz w:val="20"/>
          <w:szCs w:val="20"/>
        </w:rPr>
        <w:t xml:space="preserve">It lets the reader test a small number of site assumptions that often matter most in practice. </w:t>
      </w:r>
    </w:p>
    <w:p w14:paraId="7C1C5D41" w14:textId="5F0DA0A8" w:rsidR="000727DF" w:rsidRPr="00404D22" w:rsidRDefault="007D5888" w:rsidP="00404D22">
      <w:pPr>
        <w:pStyle w:val="ListParagraph"/>
        <w:numPr>
          <w:ilvl w:val="0"/>
          <w:numId w:val="11"/>
        </w:numPr>
        <w:spacing w:line="240" w:lineRule="auto"/>
        <w:rPr>
          <w:rFonts w:ascii="Arial" w:hAnsi="Arial" w:cs="Arial"/>
          <w:sz w:val="20"/>
          <w:szCs w:val="20"/>
        </w:rPr>
      </w:pPr>
      <w:r w:rsidRPr="00404D22">
        <w:rPr>
          <w:rFonts w:ascii="Arial" w:hAnsi="Arial" w:cs="Arial"/>
          <w:sz w:val="20"/>
          <w:szCs w:val="20"/>
        </w:rPr>
        <w:t>It rapidly shows w</w:t>
      </w:r>
      <w:r w:rsidR="006633A3" w:rsidRPr="00404D22">
        <w:rPr>
          <w:rFonts w:ascii="Arial" w:hAnsi="Arial" w:cs="Arial"/>
          <w:sz w:val="20"/>
          <w:szCs w:val="20"/>
        </w:rPr>
        <w:t xml:space="preserve">hich </w:t>
      </w:r>
      <w:r w:rsidRPr="00404D22">
        <w:rPr>
          <w:rFonts w:ascii="Arial" w:hAnsi="Arial" w:cs="Arial"/>
          <w:sz w:val="20"/>
          <w:szCs w:val="20"/>
        </w:rPr>
        <w:t xml:space="preserve">microbial </w:t>
      </w:r>
      <w:r w:rsidR="006633A3" w:rsidRPr="00404D22">
        <w:rPr>
          <w:rFonts w:ascii="Arial" w:hAnsi="Arial" w:cs="Arial"/>
          <w:sz w:val="20"/>
          <w:szCs w:val="20"/>
        </w:rPr>
        <w:t>hazards move to the top when a site looks mainly sewage-driven, agriculture-driven, urban-runoff driven, highly riverine/event-driven, warm/bloom-prone, or already high in measured E. coli / intestinal enterococci</w:t>
      </w:r>
      <w:r w:rsidRPr="00404D22">
        <w:rPr>
          <w:rFonts w:ascii="Arial" w:hAnsi="Arial" w:cs="Arial"/>
          <w:sz w:val="20"/>
          <w:szCs w:val="20"/>
        </w:rPr>
        <w:t>.</w:t>
      </w:r>
    </w:p>
    <w:p w14:paraId="67328C22" w14:textId="4C168060"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 xml:space="preserve">The model should be read as a relative ranking tool. A higher score means the hazard deserves more attention under the current assumptions. </w:t>
      </w:r>
    </w:p>
    <w:p w14:paraId="264D6046" w14:textId="406EFFED" w:rsidR="00AF6E88" w:rsidRPr="00404D22" w:rsidRDefault="00794802" w:rsidP="00404D22">
      <w:pPr>
        <w:spacing w:line="240" w:lineRule="auto"/>
        <w:contextualSpacing/>
        <w:rPr>
          <w:rFonts w:ascii="Arial" w:hAnsi="Arial" w:cs="Arial"/>
          <w:sz w:val="20"/>
          <w:szCs w:val="20"/>
        </w:rPr>
      </w:pPr>
      <w:r w:rsidRPr="00404D22">
        <w:rPr>
          <w:rFonts w:ascii="Arial" w:hAnsi="Arial" w:cs="Arial"/>
          <w:sz w:val="20"/>
          <w:szCs w:val="20"/>
        </w:rPr>
        <w:t xml:space="preserve">‘Generic’ </w:t>
      </w:r>
      <w:r w:rsidR="006633A3" w:rsidRPr="00404D22">
        <w:rPr>
          <w:rFonts w:ascii="Arial" w:hAnsi="Arial" w:cs="Arial"/>
          <w:i/>
          <w:iCs/>
          <w:sz w:val="20"/>
          <w:szCs w:val="20"/>
        </w:rPr>
        <w:t>E. coli</w:t>
      </w:r>
      <w:r w:rsidR="006633A3" w:rsidRPr="00404D22">
        <w:rPr>
          <w:rFonts w:ascii="Arial" w:hAnsi="Arial" w:cs="Arial"/>
          <w:sz w:val="20"/>
          <w:szCs w:val="20"/>
        </w:rPr>
        <w:t>, intestinal enterococci</w:t>
      </w:r>
      <w:r w:rsidR="00FA58F3" w:rsidRPr="00404D22">
        <w:rPr>
          <w:rFonts w:ascii="Arial" w:hAnsi="Arial" w:cs="Arial"/>
          <w:sz w:val="20"/>
          <w:szCs w:val="20"/>
        </w:rPr>
        <w:t xml:space="preserve">, </w:t>
      </w:r>
      <w:r w:rsidR="00AF6E88" w:rsidRPr="00404D22">
        <w:rPr>
          <w:rFonts w:ascii="Arial" w:hAnsi="Arial" w:cs="Arial"/>
          <w:sz w:val="20"/>
          <w:szCs w:val="20"/>
        </w:rPr>
        <w:t>cyanobacteria/cyanotoxins</w:t>
      </w:r>
      <w:r w:rsidR="00FA58F3" w:rsidRPr="00404D22">
        <w:rPr>
          <w:rFonts w:ascii="Arial" w:hAnsi="Arial" w:cs="Arial"/>
          <w:sz w:val="20"/>
          <w:szCs w:val="20"/>
        </w:rPr>
        <w:t>, and AMR</w:t>
      </w:r>
      <w:r w:rsidRPr="00404D22">
        <w:rPr>
          <w:rFonts w:ascii="Arial" w:hAnsi="Arial" w:cs="Arial"/>
          <w:sz w:val="20"/>
          <w:szCs w:val="20"/>
        </w:rPr>
        <w:t>,</w:t>
      </w:r>
      <w:r w:rsidR="00B3121B" w:rsidRPr="00404D22">
        <w:rPr>
          <w:rFonts w:ascii="Arial" w:hAnsi="Arial" w:cs="Arial"/>
          <w:sz w:val="20"/>
          <w:szCs w:val="20"/>
        </w:rPr>
        <w:t xml:space="preserve"> </w:t>
      </w:r>
      <w:r w:rsidRPr="00404D22">
        <w:rPr>
          <w:rFonts w:ascii="Arial" w:hAnsi="Arial" w:cs="Arial"/>
          <w:sz w:val="20"/>
          <w:szCs w:val="20"/>
        </w:rPr>
        <w:t xml:space="preserve">are kept separate from the main </w:t>
      </w:r>
      <w:r w:rsidR="00EF2C8D" w:rsidRPr="00404D22">
        <w:rPr>
          <w:rFonts w:ascii="Arial" w:hAnsi="Arial" w:cs="Arial"/>
          <w:sz w:val="20"/>
          <w:szCs w:val="20"/>
        </w:rPr>
        <w:t>ranking</w:t>
      </w:r>
      <w:r w:rsidR="00AF6E88" w:rsidRPr="00404D22">
        <w:rPr>
          <w:rFonts w:ascii="Arial" w:hAnsi="Arial" w:cs="Arial"/>
          <w:sz w:val="20"/>
          <w:szCs w:val="20"/>
        </w:rPr>
        <w:t xml:space="preserve"> </w:t>
      </w:r>
      <w:r w:rsidR="000E70A7" w:rsidRPr="00404D22">
        <w:rPr>
          <w:rFonts w:ascii="Arial" w:hAnsi="Arial" w:cs="Arial"/>
          <w:sz w:val="20"/>
          <w:szCs w:val="20"/>
        </w:rPr>
        <w:t xml:space="preserve">because the main ranking is designed to compare named causal pathogens that most plausibly drive bathing-water illness burden. Generic </w:t>
      </w:r>
      <w:r w:rsidR="000E70A7" w:rsidRPr="00404D22">
        <w:rPr>
          <w:rFonts w:ascii="Arial" w:hAnsi="Arial" w:cs="Arial"/>
          <w:i/>
          <w:iCs/>
          <w:sz w:val="20"/>
          <w:szCs w:val="20"/>
        </w:rPr>
        <w:t>E. coli</w:t>
      </w:r>
      <w:r w:rsidR="000E70A7" w:rsidRPr="00404D22">
        <w:rPr>
          <w:rFonts w:ascii="Arial" w:hAnsi="Arial" w:cs="Arial"/>
          <w:sz w:val="20"/>
          <w:szCs w:val="20"/>
        </w:rPr>
        <w:t xml:space="preserve">, intestinal enterococci, cyanobacteria/cyanotoxins, and AMR do not play that same role. They are used in the model for warning, compliance, separate hazard management, or cross-cutting </w:t>
      </w:r>
      <w:r w:rsidR="00AF6E88" w:rsidRPr="00404D22">
        <w:rPr>
          <w:rFonts w:ascii="Arial" w:hAnsi="Arial" w:cs="Arial"/>
          <w:sz w:val="20"/>
          <w:szCs w:val="20"/>
        </w:rPr>
        <w:t>risk modification</w:t>
      </w:r>
      <w:r w:rsidR="000E70A7" w:rsidRPr="00404D22">
        <w:rPr>
          <w:rFonts w:ascii="Arial" w:hAnsi="Arial" w:cs="Arial"/>
          <w:sz w:val="20"/>
          <w:szCs w:val="20"/>
        </w:rPr>
        <w:t>, rather than as directly comparable causal pathogen rows.</w:t>
      </w:r>
    </w:p>
    <w:p w14:paraId="60591998" w14:textId="6E1DA6E6"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The workbook contains six tabs. The best way to use the workbook is to start with the Dashboard.</w:t>
      </w:r>
    </w:p>
    <w:tbl>
      <w:tblPr>
        <w:tblStyle w:val="TableGrid"/>
        <w:tblW w:w="0" w:type="auto"/>
        <w:tblLook w:val="04A0" w:firstRow="1" w:lastRow="0" w:firstColumn="1" w:lastColumn="0" w:noHBand="0" w:noVBand="1"/>
      </w:tblPr>
      <w:tblGrid>
        <w:gridCol w:w="2689"/>
        <w:gridCol w:w="6945"/>
      </w:tblGrid>
      <w:tr w:rsidR="00FB4B78" w:rsidRPr="00404D22" w14:paraId="5155CA06" w14:textId="77777777" w:rsidTr="00476E58">
        <w:tc>
          <w:tcPr>
            <w:tcW w:w="2689" w:type="dxa"/>
            <w:shd w:val="clear" w:color="auto" w:fill="D9EAD3"/>
          </w:tcPr>
          <w:p w14:paraId="5537BEF9" w14:textId="77777777" w:rsidR="00FB4B78" w:rsidRPr="00404D22" w:rsidRDefault="00FB4B78" w:rsidP="00404D22">
            <w:pPr>
              <w:contextualSpacing/>
              <w:rPr>
                <w:rFonts w:ascii="Arial" w:hAnsi="Arial" w:cs="Arial"/>
                <w:sz w:val="20"/>
                <w:szCs w:val="20"/>
              </w:rPr>
            </w:pPr>
            <w:r w:rsidRPr="00404D22">
              <w:rPr>
                <w:rFonts w:ascii="Arial" w:hAnsi="Arial" w:cs="Arial"/>
                <w:b/>
                <w:sz w:val="20"/>
                <w:szCs w:val="20"/>
              </w:rPr>
              <w:t>Tab</w:t>
            </w:r>
          </w:p>
        </w:tc>
        <w:tc>
          <w:tcPr>
            <w:tcW w:w="6945" w:type="dxa"/>
            <w:shd w:val="clear" w:color="auto" w:fill="D9EAD3"/>
          </w:tcPr>
          <w:p w14:paraId="56A63FBB" w14:textId="77777777" w:rsidR="00FB4B78" w:rsidRPr="00404D22" w:rsidRDefault="00FB4B78" w:rsidP="00404D22">
            <w:pPr>
              <w:contextualSpacing/>
              <w:rPr>
                <w:rFonts w:ascii="Arial" w:hAnsi="Arial" w:cs="Arial"/>
                <w:sz w:val="20"/>
                <w:szCs w:val="20"/>
              </w:rPr>
            </w:pPr>
            <w:r w:rsidRPr="00404D22">
              <w:rPr>
                <w:rFonts w:ascii="Arial" w:hAnsi="Arial" w:cs="Arial"/>
                <w:b/>
                <w:sz w:val="20"/>
                <w:szCs w:val="20"/>
              </w:rPr>
              <w:t>What the reader should do there</w:t>
            </w:r>
          </w:p>
        </w:tc>
      </w:tr>
      <w:tr w:rsidR="00FB4B78" w:rsidRPr="00404D22" w14:paraId="5B7A1F7C" w14:textId="77777777" w:rsidTr="00476E58">
        <w:tc>
          <w:tcPr>
            <w:tcW w:w="2689" w:type="dxa"/>
          </w:tcPr>
          <w:p w14:paraId="633416DA" w14:textId="77777777" w:rsidR="00FB4B78" w:rsidRPr="00404D22" w:rsidRDefault="00FB4B78" w:rsidP="00404D22">
            <w:pPr>
              <w:contextualSpacing/>
              <w:rPr>
                <w:rFonts w:ascii="Arial" w:hAnsi="Arial" w:cs="Arial"/>
                <w:sz w:val="20"/>
                <w:szCs w:val="20"/>
              </w:rPr>
            </w:pPr>
            <w:r w:rsidRPr="00404D22">
              <w:rPr>
                <w:rFonts w:ascii="Arial" w:hAnsi="Arial" w:cs="Arial"/>
                <w:sz w:val="20"/>
                <w:szCs w:val="20"/>
              </w:rPr>
              <w:t>Dashboard</w:t>
            </w:r>
          </w:p>
        </w:tc>
        <w:tc>
          <w:tcPr>
            <w:tcW w:w="6945" w:type="dxa"/>
          </w:tcPr>
          <w:p w14:paraId="605D9EC2" w14:textId="1B84517D" w:rsidR="00FB4B78" w:rsidRPr="00404D22" w:rsidRDefault="00FB4B78" w:rsidP="00404D22">
            <w:pPr>
              <w:contextualSpacing/>
              <w:rPr>
                <w:rFonts w:ascii="Arial" w:hAnsi="Arial" w:cs="Arial"/>
                <w:sz w:val="20"/>
                <w:szCs w:val="20"/>
              </w:rPr>
            </w:pPr>
            <w:r w:rsidRPr="00404D22">
              <w:rPr>
                <w:rFonts w:ascii="Arial" w:hAnsi="Arial" w:cs="Arial"/>
                <w:sz w:val="20"/>
                <w:szCs w:val="20"/>
              </w:rPr>
              <w:t>Change the assumptions in yellow cells and look at the current Top 10 list.</w:t>
            </w:r>
          </w:p>
        </w:tc>
      </w:tr>
      <w:tr w:rsidR="00FB4B78" w:rsidRPr="00404D22" w14:paraId="7187D9B4" w14:textId="77777777" w:rsidTr="00476E58">
        <w:tc>
          <w:tcPr>
            <w:tcW w:w="2689" w:type="dxa"/>
          </w:tcPr>
          <w:p w14:paraId="7716BDCC" w14:textId="77777777" w:rsidR="00FB4B78" w:rsidRPr="00404D22" w:rsidRDefault="00FB4B78" w:rsidP="00404D22">
            <w:pPr>
              <w:contextualSpacing/>
              <w:rPr>
                <w:rFonts w:ascii="Arial" w:hAnsi="Arial" w:cs="Arial"/>
                <w:sz w:val="20"/>
                <w:szCs w:val="20"/>
              </w:rPr>
            </w:pPr>
            <w:r w:rsidRPr="00404D22">
              <w:rPr>
                <w:rFonts w:ascii="Arial" w:hAnsi="Arial" w:cs="Arial"/>
                <w:sz w:val="20"/>
                <w:szCs w:val="20"/>
              </w:rPr>
              <w:t>Pathogen Ranking</w:t>
            </w:r>
          </w:p>
        </w:tc>
        <w:tc>
          <w:tcPr>
            <w:tcW w:w="6945" w:type="dxa"/>
          </w:tcPr>
          <w:p w14:paraId="3E7C4594" w14:textId="4761B6BA" w:rsidR="00FB4B78" w:rsidRPr="00404D22" w:rsidRDefault="00FB4B78" w:rsidP="00404D22">
            <w:pPr>
              <w:contextualSpacing/>
              <w:rPr>
                <w:rFonts w:ascii="Arial" w:hAnsi="Arial" w:cs="Arial"/>
                <w:sz w:val="20"/>
                <w:szCs w:val="20"/>
              </w:rPr>
            </w:pPr>
            <w:r w:rsidRPr="00404D22">
              <w:rPr>
                <w:rFonts w:ascii="Arial" w:hAnsi="Arial" w:cs="Arial"/>
                <w:sz w:val="20"/>
                <w:szCs w:val="20"/>
              </w:rPr>
              <w:t>Compare pathogen hazard.</w:t>
            </w:r>
          </w:p>
        </w:tc>
      </w:tr>
      <w:tr w:rsidR="00FB4B78" w:rsidRPr="00404D22" w14:paraId="1317121D" w14:textId="77777777" w:rsidTr="00476E58">
        <w:tc>
          <w:tcPr>
            <w:tcW w:w="2689" w:type="dxa"/>
          </w:tcPr>
          <w:p w14:paraId="03B7CFF2" w14:textId="77777777" w:rsidR="00FB4B78" w:rsidRPr="00404D22" w:rsidRDefault="00FB4B78" w:rsidP="00404D22">
            <w:pPr>
              <w:contextualSpacing/>
              <w:rPr>
                <w:rFonts w:ascii="Arial" w:hAnsi="Arial" w:cs="Arial"/>
                <w:sz w:val="20"/>
                <w:szCs w:val="20"/>
              </w:rPr>
            </w:pPr>
            <w:r w:rsidRPr="00404D22">
              <w:rPr>
                <w:rFonts w:ascii="Arial" w:hAnsi="Arial" w:cs="Arial"/>
                <w:sz w:val="20"/>
                <w:szCs w:val="20"/>
              </w:rPr>
              <w:t>Sentinel &amp; Hazard Modules</w:t>
            </w:r>
          </w:p>
        </w:tc>
        <w:tc>
          <w:tcPr>
            <w:tcW w:w="6945" w:type="dxa"/>
          </w:tcPr>
          <w:p w14:paraId="3DB12CA3" w14:textId="66BF69E7" w:rsidR="00FB4B78" w:rsidRPr="00404D22" w:rsidRDefault="00476E58" w:rsidP="00404D22">
            <w:pPr>
              <w:contextualSpacing/>
              <w:rPr>
                <w:rFonts w:ascii="Arial" w:hAnsi="Arial" w:cs="Arial"/>
                <w:sz w:val="20"/>
                <w:szCs w:val="20"/>
              </w:rPr>
            </w:pPr>
            <w:r w:rsidRPr="00404D22">
              <w:rPr>
                <w:rFonts w:ascii="Arial" w:hAnsi="Arial" w:cs="Arial"/>
                <w:sz w:val="20"/>
                <w:szCs w:val="20"/>
              </w:rPr>
              <w:t xml:space="preserve">Describes </w:t>
            </w:r>
            <w:r w:rsidR="00FB4B78" w:rsidRPr="00404D22">
              <w:rPr>
                <w:rFonts w:ascii="Arial" w:hAnsi="Arial" w:cs="Arial"/>
                <w:sz w:val="20"/>
                <w:szCs w:val="20"/>
              </w:rPr>
              <w:t xml:space="preserve">how generic E. coli, intestinal enterococci, </w:t>
            </w:r>
            <w:r w:rsidRPr="00404D22">
              <w:rPr>
                <w:rFonts w:ascii="Arial" w:hAnsi="Arial" w:cs="Arial"/>
                <w:sz w:val="20"/>
                <w:szCs w:val="20"/>
              </w:rPr>
              <w:t>cyanobacteria/cyanotoxins</w:t>
            </w:r>
            <w:r w:rsidR="00FB4B78" w:rsidRPr="00404D22">
              <w:rPr>
                <w:rFonts w:ascii="Arial" w:hAnsi="Arial" w:cs="Arial"/>
                <w:sz w:val="20"/>
                <w:szCs w:val="20"/>
              </w:rPr>
              <w:t>, and the AMR overlay are handled.</w:t>
            </w:r>
          </w:p>
        </w:tc>
      </w:tr>
      <w:tr w:rsidR="00FB4B78" w:rsidRPr="00404D22" w14:paraId="46F6D097" w14:textId="77777777" w:rsidTr="00476E58">
        <w:tc>
          <w:tcPr>
            <w:tcW w:w="2689" w:type="dxa"/>
          </w:tcPr>
          <w:p w14:paraId="771E95A2" w14:textId="77777777" w:rsidR="00FB4B78" w:rsidRPr="00404D22" w:rsidRDefault="00FB4B78" w:rsidP="00404D22">
            <w:pPr>
              <w:contextualSpacing/>
              <w:rPr>
                <w:rFonts w:ascii="Arial" w:hAnsi="Arial" w:cs="Arial"/>
                <w:sz w:val="20"/>
                <w:szCs w:val="20"/>
              </w:rPr>
            </w:pPr>
            <w:r w:rsidRPr="00404D22">
              <w:rPr>
                <w:rFonts w:ascii="Arial" w:hAnsi="Arial" w:cs="Arial"/>
                <w:sz w:val="20"/>
                <w:szCs w:val="20"/>
              </w:rPr>
              <w:t>Evidence Basis</w:t>
            </w:r>
          </w:p>
        </w:tc>
        <w:tc>
          <w:tcPr>
            <w:tcW w:w="6945" w:type="dxa"/>
          </w:tcPr>
          <w:p w14:paraId="6B5F6368" w14:textId="0F552E7A" w:rsidR="00FB4B78" w:rsidRPr="00404D22" w:rsidRDefault="00FB4B78" w:rsidP="00404D22">
            <w:pPr>
              <w:contextualSpacing/>
              <w:rPr>
                <w:rFonts w:ascii="Arial" w:hAnsi="Arial" w:cs="Arial"/>
                <w:sz w:val="20"/>
                <w:szCs w:val="20"/>
              </w:rPr>
            </w:pPr>
            <w:r w:rsidRPr="00404D22">
              <w:rPr>
                <w:rFonts w:ascii="Arial" w:hAnsi="Arial" w:cs="Arial"/>
                <w:sz w:val="20"/>
                <w:szCs w:val="20"/>
              </w:rPr>
              <w:t xml:space="preserve">Look up what a term means and why it was </w:t>
            </w:r>
            <w:r w:rsidR="003E0084" w:rsidRPr="00404D22">
              <w:rPr>
                <w:rFonts w:ascii="Arial" w:hAnsi="Arial" w:cs="Arial"/>
                <w:sz w:val="20"/>
                <w:szCs w:val="20"/>
              </w:rPr>
              <w:t>used</w:t>
            </w:r>
            <w:r w:rsidRPr="00404D22">
              <w:rPr>
                <w:rFonts w:ascii="Arial" w:hAnsi="Arial" w:cs="Arial"/>
                <w:sz w:val="20"/>
                <w:szCs w:val="20"/>
              </w:rPr>
              <w:t>.</w:t>
            </w:r>
          </w:p>
        </w:tc>
      </w:tr>
      <w:tr w:rsidR="00FB4B78" w:rsidRPr="00404D22" w14:paraId="7EA64657" w14:textId="77777777" w:rsidTr="00476E58">
        <w:tc>
          <w:tcPr>
            <w:tcW w:w="2689" w:type="dxa"/>
          </w:tcPr>
          <w:p w14:paraId="748F2A61" w14:textId="77777777" w:rsidR="00FB4B78" w:rsidRPr="00404D22" w:rsidRDefault="00FB4B78" w:rsidP="00404D22">
            <w:pPr>
              <w:contextualSpacing/>
              <w:rPr>
                <w:rFonts w:ascii="Arial" w:hAnsi="Arial" w:cs="Arial"/>
                <w:sz w:val="20"/>
                <w:szCs w:val="20"/>
              </w:rPr>
            </w:pPr>
            <w:r w:rsidRPr="00404D22">
              <w:rPr>
                <w:rFonts w:ascii="Arial" w:hAnsi="Arial" w:cs="Arial"/>
                <w:sz w:val="20"/>
                <w:szCs w:val="20"/>
              </w:rPr>
              <w:t>References</w:t>
            </w:r>
          </w:p>
        </w:tc>
        <w:tc>
          <w:tcPr>
            <w:tcW w:w="6945" w:type="dxa"/>
          </w:tcPr>
          <w:p w14:paraId="3359CAD8" w14:textId="77777777" w:rsidR="00FB4B78" w:rsidRPr="00404D22" w:rsidRDefault="00FB4B78" w:rsidP="00404D22">
            <w:pPr>
              <w:contextualSpacing/>
              <w:rPr>
                <w:rFonts w:ascii="Arial" w:hAnsi="Arial" w:cs="Arial"/>
                <w:sz w:val="20"/>
                <w:szCs w:val="20"/>
              </w:rPr>
            </w:pPr>
            <w:r w:rsidRPr="00404D22">
              <w:rPr>
                <w:rFonts w:ascii="Arial" w:hAnsi="Arial" w:cs="Arial"/>
                <w:sz w:val="20"/>
                <w:szCs w:val="20"/>
              </w:rPr>
              <w:t>See the key source documents and URLs.</w:t>
            </w:r>
          </w:p>
        </w:tc>
      </w:tr>
    </w:tbl>
    <w:p w14:paraId="538C325F" w14:textId="77777777" w:rsidR="00D64849" w:rsidRPr="00404D22" w:rsidRDefault="00D64849" w:rsidP="00404D22">
      <w:pPr>
        <w:spacing w:line="240" w:lineRule="auto"/>
        <w:contextualSpacing/>
        <w:rPr>
          <w:rFonts w:ascii="Arial" w:hAnsi="Arial" w:cs="Arial"/>
          <w:sz w:val="20"/>
          <w:szCs w:val="20"/>
        </w:rPr>
      </w:pPr>
    </w:p>
    <w:p w14:paraId="4BE56513" w14:textId="37596B32" w:rsidR="000727DF" w:rsidRPr="00404D22" w:rsidRDefault="006633A3" w:rsidP="00404D22">
      <w:pPr>
        <w:spacing w:line="240" w:lineRule="auto"/>
        <w:contextualSpacing/>
        <w:rPr>
          <w:rFonts w:ascii="Arial" w:hAnsi="Arial" w:cs="Arial"/>
          <w:b/>
          <w:bCs/>
          <w:sz w:val="20"/>
          <w:szCs w:val="20"/>
        </w:rPr>
      </w:pPr>
      <w:r w:rsidRPr="00404D22">
        <w:rPr>
          <w:rFonts w:ascii="Arial" w:hAnsi="Arial" w:cs="Arial"/>
          <w:b/>
          <w:bCs/>
          <w:sz w:val="20"/>
          <w:szCs w:val="20"/>
        </w:rPr>
        <w:t>How to use the workbook</w:t>
      </w:r>
      <w:r w:rsidR="00D64849" w:rsidRPr="00404D22">
        <w:rPr>
          <w:rFonts w:ascii="Arial" w:hAnsi="Arial" w:cs="Arial"/>
          <w:b/>
          <w:bCs/>
          <w:sz w:val="20"/>
          <w:szCs w:val="20"/>
        </w:rPr>
        <w:t>:</w:t>
      </w:r>
    </w:p>
    <w:p w14:paraId="3BE3F69B" w14:textId="77777777" w:rsidR="00A00F05" w:rsidRPr="00404D22" w:rsidRDefault="00A00F05" w:rsidP="00404D22">
      <w:pPr>
        <w:spacing w:line="240" w:lineRule="auto"/>
        <w:ind w:left="709" w:hanging="709"/>
        <w:contextualSpacing/>
        <w:rPr>
          <w:rFonts w:ascii="Arial" w:hAnsi="Arial" w:cs="Arial"/>
          <w:sz w:val="20"/>
          <w:szCs w:val="20"/>
        </w:rPr>
      </w:pPr>
    </w:p>
    <w:p w14:paraId="01BCC243" w14:textId="264BECCA" w:rsidR="00D64849" w:rsidRPr="00404D22" w:rsidRDefault="006633A3" w:rsidP="00404D22">
      <w:pPr>
        <w:spacing w:line="240" w:lineRule="auto"/>
        <w:ind w:left="709" w:hanging="709"/>
        <w:contextualSpacing/>
        <w:rPr>
          <w:rFonts w:ascii="Arial" w:hAnsi="Arial" w:cs="Arial"/>
          <w:sz w:val="20"/>
          <w:szCs w:val="20"/>
        </w:rPr>
      </w:pPr>
      <w:r w:rsidRPr="00404D22">
        <w:rPr>
          <w:rFonts w:ascii="Arial" w:hAnsi="Arial" w:cs="Arial"/>
          <w:sz w:val="20"/>
          <w:szCs w:val="20"/>
        </w:rPr>
        <w:t>Step 1</w:t>
      </w:r>
      <w:proofErr w:type="gramStart"/>
      <w:r w:rsidRPr="00404D22">
        <w:rPr>
          <w:rFonts w:ascii="Arial" w:hAnsi="Arial" w:cs="Arial"/>
          <w:sz w:val="20"/>
          <w:szCs w:val="20"/>
        </w:rPr>
        <w:t xml:space="preserve">: </w:t>
      </w:r>
      <w:r w:rsidR="00A00F05" w:rsidRPr="00404D22">
        <w:rPr>
          <w:rFonts w:ascii="Arial" w:hAnsi="Arial" w:cs="Arial"/>
          <w:sz w:val="20"/>
          <w:szCs w:val="20"/>
        </w:rPr>
        <w:tab/>
      </w:r>
      <w:r w:rsidRPr="00404D22">
        <w:rPr>
          <w:rFonts w:ascii="Arial" w:hAnsi="Arial" w:cs="Arial"/>
          <w:sz w:val="20"/>
          <w:szCs w:val="20"/>
        </w:rPr>
        <w:t>Open</w:t>
      </w:r>
      <w:proofErr w:type="gramEnd"/>
      <w:r w:rsidRPr="00404D22">
        <w:rPr>
          <w:rFonts w:ascii="Arial" w:hAnsi="Arial" w:cs="Arial"/>
          <w:sz w:val="20"/>
          <w:szCs w:val="20"/>
        </w:rPr>
        <w:t xml:space="preserve"> the Dashboard</w:t>
      </w:r>
      <w:r w:rsidR="00A00F05" w:rsidRPr="00404D22">
        <w:rPr>
          <w:rFonts w:ascii="Arial" w:hAnsi="Arial" w:cs="Arial"/>
          <w:sz w:val="20"/>
          <w:szCs w:val="20"/>
        </w:rPr>
        <w:t xml:space="preserve"> tab</w:t>
      </w:r>
      <w:r w:rsidRPr="00404D22">
        <w:rPr>
          <w:rFonts w:ascii="Arial" w:hAnsi="Arial" w:cs="Arial"/>
          <w:sz w:val="20"/>
          <w:szCs w:val="20"/>
        </w:rPr>
        <w:t>.</w:t>
      </w:r>
    </w:p>
    <w:p w14:paraId="1423E89C" w14:textId="424084E1" w:rsidR="000727DF" w:rsidRPr="00404D22" w:rsidRDefault="006633A3" w:rsidP="00404D22">
      <w:pPr>
        <w:spacing w:line="240" w:lineRule="auto"/>
        <w:ind w:left="709" w:hanging="709"/>
        <w:contextualSpacing/>
        <w:rPr>
          <w:rFonts w:ascii="Arial" w:hAnsi="Arial" w:cs="Arial"/>
          <w:sz w:val="20"/>
          <w:szCs w:val="20"/>
        </w:rPr>
      </w:pPr>
      <w:r w:rsidRPr="00404D22">
        <w:rPr>
          <w:rFonts w:ascii="Arial" w:hAnsi="Arial" w:cs="Arial"/>
          <w:sz w:val="20"/>
          <w:szCs w:val="20"/>
        </w:rPr>
        <w:t>Step 2</w:t>
      </w:r>
      <w:proofErr w:type="gramStart"/>
      <w:r w:rsidRPr="00404D22">
        <w:rPr>
          <w:rFonts w:ascii="Arial" w:hAnsi="Arial" w:cs="Arial"/>
          <w:sz w:val="20"/>
          <w:szCs w:val="20"/>
        </w:rPr>
        <w:t xml:space="preserve">: </w:t>
      </w:r>
      <w:r w:rsidR="00A00F05" w:rsidRPr="00404D22">
        <w:rPr>
          <w:rFonts w:ascii="Arial" w:hAnsi="Arial" w:cs="Arial"/>
          <w:sz w:val="20"/>
          <w:szCs w:val="20"/>
        </w:rPr>
        <w:tab/>
      </w:r>
      <w:r w:rsidRPr="00404D22">
        <w:rPr>
          <w:rFonts w:ascii="Arial" w:hAnsi="Arial" w:cs="Arial"/>
          <w:sz w:val="20"/>
          <w:szCs w:val="20"/>
        </w:rPr>
        <w:t>Decide</w:t>
      </w:r>
      <w:proofErr w:type="gramEnd"/>
      <w:r w:rsidRPr="00404D22">
        <w:rPr>
          <w:rFonts w:ascii="Arial" w:hAnsi="Arial" w:cs="Arial"/>
          <w:sz w:val="20"/>
          <w:szCs w:val="20"/>
        </w:rPr>
        <w:t xml:space="preserve"> what </w:t>
      </w:r>
      <w:r w:rsidR="00D64849" w:rsidRPr="00404D22">
        <w:rPr>
          <w:rFonts w:ascii="Arial" w:hAnsi="Arial" w:cs="Arial"/>
          <w:sz w:val="20"/>
          <w:szCs w:val="20"/>
        </w:rPr>
        <w:t>your</w:t>
      </w:r>
      <w:r w:rsidRPr="00404D22">
        <w:rPr>
          <w:rFonts w:ascii="Arial" w:hAnsi="Arial" w:cs="Arial"/>
          <w:sz w:val="20"/>
          <w:szCs w:val="20"/>
        </w:rPr>
        <w:t xml:space="preserve"> site</w:t>
      </w:r>
      <w:r w:rsidR="00D64849" w:rsidRPr="00404D22">
        <w:rPr>
          <w:rFonts w:ascii="Arial" w:hAnsi="Arial" w:cs="Arial"/>
          <w:sz w:val="20"/>
          <w:szCs w:val="20"/>
        </w:rPr>
        <w:t xml:space="preserve"> of interest</w:t>
      </w:r>
      <w:r w:rsidRPr="00404D22">
        <w:rPr>
          <w:rFonts w:ascii="Arial" w:hAnsi="Arial" w:cs="Arial"/>
          <w:sz w:val="20"/>
          <w:szCs w:val="20"/>
        </w:rPr>
        <w:t xml:space="preserve"> looks like. </w:t>
      </w:r>
      <w:r w:rsidR="00D64849" w:rsidRPr="00404D22">
        <w:rPr>
          <w:rFonts w:ascii="Arial" w:hAnsi="Arial" w:cs="Arial"/>
          <w:sz w:val="20"/>
          <w:szCs w:val="20"/>
        </w:rPr>
        <w:t xml:space="preserve">For example: </w:t>
      </w:r>
      <w:r w:rsidRPr="00404D22">
        <w:rPr>
          <w:rFonts w:ascii="Arial" w:hAnsi="Arial" w:cs="Arial"/>
          <w:sz w:val="20"/>
          <w:szCs w:val="20"/>
        </w:rPr>
        <w:t xml:space="preserve">Is it mainly influenced by sewage, agriculture, urban runoff, event-driven river conditions, warm/bloom conditions, or </w:t>
      </w:r>
      <w:r w:rsidR="00645345" w:rsidRPr="00404D22">
        <w:rPr>
          <w:rFonts w:ascii="Arial" w:hAnsi="Arial" w:cs="Arial"/>
          <w:sz w:val="20"/>
          <w:szCs w:val="20"/>
        </w:rPr>
        <w:t xml:space="preserve">known </w:t>
      </w:r>
      <w:r w:rsidRPr="00404D22">
        <w:rPr>
          <w:rFonts w:ascii="Arial" w:hAnsi="Arial" w:cs="Arial"/>
          <w:sz w:val="20"/>
          <w:szCs w:val="20"/>
        </w:rPr>
        <w:t>high</w:t>
      </w:r>
      <w:r w:rsidR="00645345" w:rsidRPr="00404D22">
        <w:rPr>
          <w:rFonts w:ascii="Arial" w:hAnsi="Arial" w:cs="Arial"/>
          <w:sz w:val="20"/>
          <w:szCs w:val="20"/>
        </w:rPr>
        <w:t xml:space="preserve"> </w:t>
      </w:r>
      <w:r w:rsidRPr="00404D22">
        <w:rPr>
          <w:rFonts w:ascii="Arial" w:hAnsi="Arial" w:cs="Arial"/>
          <w:sz w:val="20"/>
          <w:szCs w:val="20"/>
        </w:rPr>
        <w:t>E. coli / enterococci burden? Enter those assumptions in the yellow cells</w:t>
      </w:r>
      <w:r w:rsidR="00645345" w:rsidRPr="00404D22">
        <w:rPr>
          <w:rFonts w:ascii="Arial" w:hAnsi="Arial" w:cs="Arial"/>
          <w:sz w:val="20"/>
          <w:szCs w:val="20"/>
        </w:rPr>
        <w:t xml:space="preserve">, with a zero indicating none and a five </w:t>
      </w:r>
      <w:r w:rsidR="00A00F05" w:rsidRPr="00404D22">
        <w:rPr>
          <w:rFonts w:ascii="Arial" w:hAnsi="Arial" w:cs="Arial"/>
          <w:sz w:val="20"/>
          <w:szCs w:val="20"/>
        </w:rPr>
        <w:t>as a maximum score.</w:t>
      </w:r>
    </w:p>
    <w:p w14:paraId="409F61D8" w14:textId="68121272" w:rsidR="000727DF" w:rsidRPr="00404D22" w:rsidRDefault="006633A3" w:rsidP="00404D22">
      <w:pPr>
        <w:spacing w:line="240" w:lineRule="auto"/>
        <w:ind w:left="709" w:hanging="709"/>
        <w:contextualSpacing/>
        <w:rPr>
          <w:rFonts w:ascii="Arial" w:hAnsi="Arial" w:cs="Arial"/>
          <w:sz w:val="20"/>
          <w:szCs w:val="20"/>
        </w:rPr>
      </w:pPr>
      <w:r w:rsidRPr="00404D22">
        <w:rPr>
          <w:rFonts w:ascii="Arial" w:hAnsi="Arial" w:cs="Arial"/>
          <w:sz w:val="20"/>
          <w:szCs w:val="20"/>
        </w:rPr>
        <w:t>Step 3</w:t>
      </w:r>
      <w:proofErr w:type="gramStart"/>
      <w:r w:rsidRPr="00404D22">
        <w:rPr>
          <w:rFonts w:ascii="Arial" w:hAnsi="Arial" w:cs="Arial"/>
          <w:sz w:val="20"/>
          <w:szCs w:val="20"/>
        </w:rPr>
        <w:t xml:space="preserve">: </w:t>
      </w:r>
      <w:r w:rsidR="00A00F05" w:rsidRPr="00404D22">
        <w:rPr>
          <w:rFonts w:ascii="Arial" w:hAnsi="Arial" w:cs="Arial"/>
          <w:sz w:val="20"/>
          <w:szCs w:val="20"/>
        </w:rPr>
        <w:tab/>
      </w:r>
      <w:r w:rsidR="0068727E" w:rsidRPr="00404D22">
        <w:rPr>
          <w:rFonts w:ascii="Arial" w:hAnsi="Arial" w:cs="Arial"/>
          <w:sz w:val="20"/>
          <w:szCs w:val="20"/>
        </w:rPr>
        <w:t>Modify</w:t>
      </w:r>
      <w:proofErr w:type="gramEnd"/>
      <w:r w:rsidRPr="00404D22">
        <w:rPr>
          <w:rFonts w:ascii="Arial" w:hAnsi="Arial" w:cs="Arial"/>
          <w:sz w:val="20"/>
          <w:szCs w:val="20"/>
        </w:rPr>
        <w:t xml:space="preserve"> the hazard weights </w:t>
      </w:r>
      <w:r w:rsidR="0068727E" w:rsidRPr="00404D22">
        <w:rPr>
          <w:rFonts w:ascii="Arial" w:hAnsi="Arial" w:cs="Arial"/>
          <w:sz w:val="20"/>
          <w:szCs w:val="20"/>
        </w:rPr>
        <w:t>if</w:t>
      </w:r>
      <w:r w:rsidRPr="00404D22">
        <w:rPr>
          <w:rFonts w:ascii="Arial" w:hAnsi="Arial" w:cs="Arial"/>
          <w:sz w:val="20"/>
          <w:szCs w:val="20"/>
        </w:rPr>
        <w:t xml:space="preserve"> there is a clear reason to change them. The defaults are meant to provide a balanced </w:t>
      </w:r>
      <w:proofErr w:type="gramStart"/>
      <w:r w:rsidRPr="00404D22">
        <w:rPr>
          <w:rFonts w:ascii="Arial" w:hAnsi="Arial" w:cs="Arial"/>
          <w:sz w:val="20"/>
          <w:szCs w:val="20"/>
        </w:rPr>
        <w:t>public-health</w:t>
      </w:r>
      <w:proofErr w:type="gramEnd"/>
      <w:r w:rsidRPr="00404D22">
        <w:rPr>
          <w:rFonts w:ascii="Arial" w:hAnsi="Arial" w:cs="Arial"/>
          <w:sz w:val="20"/>
          <w:szCs w:val="20"/>
        </w:rPr>
        <w:t xml:space="preserve"> view.</w:t>
      </w:r>
    </w:p>
    <w:p w14:paraId="3D7965A6" w14:textId="68144592" w:rsidR="000727DF" w:rsidRPr="00404D22" w:rsidRDefault="006633A3" w:rsidP="00404D22">
      <w:pPr>
        <w:spacing w:line="240" w:lineRule="auto"/>
        <w:ind w:left="709" w:hanging="709"/>
        <w:contextualSpacing/>
        <w:rPr>
          <w:rFonts w:ascii="Arial" w:hAnsi="Arial" w:cs="Arial"/>
          <w:sz w:val="20"/>
          <w:szCs w:val="20"/>
        </w:rPr>
      </w:pPr>
      <w:r w:rsidRPr="00404D22">
        <w:rPr>
          <w:rFonts w:ascii="Arial" w:hAnsi="Arial" w:cs="Arial"/>
          <w:sz w:val="20"/>
          <w:szCs w:val="20"/>
        </w:rPr>
        <w:t>Step 4</w:t>
      </w:r>
      <w:proofErr w:type="gramStart"/>
      <w:r w:rsidRPr="00404D22">
        <w:rPr>
          <w:rFonts w:ascii="Arial" w:hAnsi="Arial" w:cs="Arial"/>
          <w:sz w:val="20"/>
          <w:szCs w:val="20"/>
        </w:rPr>
        <w:t xml:space="preserve">: </w:t>
      </w:r>
      <w:r w:rsidR="00A00F05" w:rsidRPr="00404D22">
        <w:rPr>
          <w:rFonts w:ascii="Arial" w:hAnsi="Arial" w:cs="Arial"/>
          <w:sz w:val="20"/>
          <w:szCs w:val="20"/>
        </w:rPr>
        <w:tab/>
      </w:r>
      <w:r w:rsidR="006C40F1" w:rsidRPr="00404D22">
        <w:rPr>
          <w:rFonts w:ascii="Arial" w:hAnsi="Arial" w:cs="Arial"/>
          <w:sz w:val="20"/>
          <w:szCs w:val="20"/>
        </w:rPr>
        <w:t>Th</w:t>
      </w:r>
      <w:r w:rsidRPr="00404D22">
        <w:rPr>
          <w:rFonts w:ascii="Arial" w:hAnsi="Arial" w:cs="Arial"/>
          <w:sz w:val="20"/>
          <w:szCs w:val="20"/>
        </w:rPr>
        <w:t>e</w:t>
      </w:r>
      <w:proofErr w:type="gramEnd"/>
      <w:r w:rsidRPr="00404D22">
        <w:rPr>
          <w:rFonts w:ascii="Arial" w:hAnsi="Arial" w:cs="Arial"/>
          <w:sz w:val="20"/>
          <w:szCs w:val="20"/>
        </w:rPr>
        <w:t xml:space="preserve"> Top 10 list on the right-hand side of the Dashboard</w:t>
      </w:r>
      <w:r w:rsidR="006C40F1" w:rsidRPr="00404D22">
        <w:rPr>
          <w:rFonts w:ascii="Arial" w:hAnsi="Arial" w:cs="Arial"/>
          <w:sz w:val="20"/>
          <w:szCs w:val="20"/>
        </w:rPr>
        <w:t xml:space="preserve"> </w:t>
      </w:r>
      <w:r w:rsidRPr="00404D22">
        <w:rPr>
          <w:rFonts w:ascii="Arial" w:hAnsi="Arial" w:cs="Arial"/>
          <w:sz w:val="20"/>
          <w:szCs w:val="20"/>
        </w:rPr>
        <w:t>tells you which hazards the model currently thinks deserve the most attention.</w:t>
      </w:r>
    </w:p>
    <w:p w14:paraId="753D6466" w14:textId="68D72D5D" w:rsidR="000727DF" w:rsidRPr="00404D22" w:rsidRDefault="006633A3" w:rsidP="00404D22">
      <w:pPr>
        <w:spacing w:line="240" w:lineRule="auto"/>
        <w:ind w:left="709" w:hanging="709"/>
        <w:contextualSpacing/>
        <w:rPr>
          <w:rFonts w:ascii="Arial" w:hAnsi="Arial" w:cs="Arial"/>
          <w:sz w:val="20"/>
          <w:szCs w:val="20"/>
        </w:rPr>
      </w:pPr>
      <w:r w:rsidRPr="00404D22">
        <w:rPr>
          <w:rFonts w:ascii="Arial" w:hAnsi="Arial" w:cs="Arial"/>
          <w:sz w:val="20"/>
          <w:szCs w:val="20"/>
        </w:rPr>
        <w:t>Step 5</w:t>
      </w:r>
      <w:proofErr w:type="gramStart"/>
      <w:r w:rsidRPr="00404D22">
        <w:rPr>
          <w:rFonts w:ascii="Arial" w:hAnsi="Arial" w:cs="Arial"/>
          <w:sz w:val="20"/>
          <w:szCs w:val="20"/>
        </w:rPr>
        <w:t xml:space="preserve">: </w:t>
      </w:r>
      <w:r w:rsidR="00A00F05" w:rsidRPr="00404D22">
        <w:rPr>
          <w:rFonts w:ascii="Arial" w:hAnsi="Arial" w:cs="Arial"/>
          <w:sz w:val="20"/>
          <w:szCs w:val="20"/>
        </w:rPr>
        <w:tab/>
      </w:r>
      <w:r w:rsidRPr="00404D22">
        <w:rPr>
          <w:rFonts w:ascii="Arial" w:hAnsi="Arial" w:cs="Arial"/>
          <w:sz w:val="20"/>
          <w:szCs w:val="20"/>
        </w:rPr>
        <w:t>Open</w:t>
      </w:r>
      <w:proofErr w:type="gramEnd"/>
      <w:r w:rsidRPr="00404D22">
        <w:rPr>
          <w:rFonts w:ascii="Arial" w:hAnsi="Arial" w:cs="Arial"/>
          <w:sz w:val="20"/>
          <w:szCs w:val="20"/>
        </w:rPr>
        <w:t xml:space="preserve"> the Pathogen Ranking sheet to understand why those hazards moved up or down. Use the Sentinel &amp; Hazard Modules sheet to interpret generic E. coli, intestinal enterococci, cyanobacteria / cyanotoxins, and the AMR overlay.</w:t>
      </w:r>
    </w:p>
    <w:p w14:paraId="222C8386" w14:textId="2F518E15" w:rsidR="00404D22" w:rsidRDefault="00404D22" w:rsidP="00404D22">
      <w:pPr>
        <w:spacing w:line="240" w:lineRule="auto"/>
        <w:contextualSpacing/>
        <w:rPr>
          <w:rFonts w:ascii="Arial" w:hAnsi="Arial" w:cs="Arial"/>
          <w:b/>
          <w:bCs/>
          <w:sz w:val="20"/>
          <w:szCs w:val="20"/>
        </w:rPr>
      </w:pPr>
    </w:p>
    <w:p w14:paraId="5015ED5F" w14:textId="77777777" w:rsidR="006A69E7" w:rsidRDefault="006A69E7">
      <w:pPr>
        <w:rPr>
          <w:rFonts w:ascii="Arial" w:eastAsiaTheme="majorEastAsia" w:hAnsi="Arial" w:cs="Arial"/>
          <w:b/>
          <w:bCs/>
          <w:color w:val="4F81BD" w:themeColor="accent1"/>
          <w:sz w:val="20"/>
          <w:szCs w:val="20"/>
        </w:rPr>
      </w:pPr>
      <w:r>
        <w:rPr>
          <w:rFonts w:ascii="Arial" w:hAnsi="Arial" w:cs="Arial"/>
          <w:sz w:val="20"/>
          <w:szCs w:val="20"/>
        </w:rPr>
        <w:br w:type="page"/>
      </w:r>
    </w:p>
    <w:p w14:paraId="1B54255B" w14:textId="0718738F" w:rsidR="00CB1904" w:rsidRPr="00404D22" w:rsidRDefault="00CB1904" w:rsidP="00B6363E">
      <w:pPr>
        <w:pStyle w:val="Heading1"/>
      </w:pPr>
      <w:r>
        <w:lastRenderedPageBreak/>
        <w:t>Dashboard Sheet</w:t>
      </w:r>
    </w:p>
    <w:p w14:paraId="5C1AD03D" w14:textId="77777777" w:rsidR="006A69E7" w:rsidRDefault="006A69E7" w:rsidP="006A69E7">
      <w:pPr>
        <w:spacing w:line="240" w:lineRule="auto"/>
        <w:contextualSpacing/>
        <w:rPr>
          <w:rFonts w:ascii="Arial" w:hAnsi="Arial" w:cs="Arial"/>
          <w:sz w:val="20"/>
          <w:szCs w:val="20"/>
        </w:rPr>
      </w:pPr>
    </w:p>
    <w:p w14:paraId="13B652F2" w14:textId="744026BB" w:rsidR="006A69E7" w:rsidRPr="00404D22" w:rsidRDefault="006A69E7" w:rsidP="006A69E7">
      <w:pPr>
        <w:spacing w:line="240" w:lineRule="auto"/>
        <w:contextualSpacing/>
        <w:rPr>
          <w:rFonts w:ascii="Arial" w:hAnsi="Arial" w:cs="Arial"/>
          <w:sz w:val="20"/>
          <w:szCs w:val="20"/>
        </w:rPr>
      </w:pPr>
      <w:r w:rsidRPr="00404D22">
        <w:rPr>
          <w:rFonts w:ascii="Arial" w:hAnsi="Arial" w:cs="Arial"/>
          <w:sz w:val="20"/>
          <w:szCs w:val="20"/>
        </w:rPr>
        <w:t>The simplified model uses three linked scores: a national hazard score, a site relevance score, and a final score.</w:t>
      </w:r>
    </w:p>
    <w:p w14:paraId="045550EA" w14:textId="77777777" w:rsidR="006A69E7" w:rsidRDefault="006A69E7" w:rsidP="00404D22">
      <w:pPr>
        <w:spacing w:line="240" w:lineRule="auto"/>
        <w:contextualSpacing/>
        <w:rPr>
          <w:rFonts w:ascii="Arial" w:hAnsi="Arial" w:cs="Arial"/>
          <w:b/>
          <w:bCs/>
          <w:sz w:val="20"/>
          <w:szCs w:val="20"/>
        </w:rPr>
      </w:pPr>
    </w:p>
    <w:p w14:paraId="2828F3B2" w14:textId="0BB39B31" w:rsidR="000727DF" w:rsidRPr="00404D22" w:rsidRDefault="006633A3" w:rsidP="00404D22">
      <w:pPr>
        <w:spacing w:line="240" w:lineRule="auto"/>
        <w:contextualSpacing/>
        <w:rPr>
          <w:rFonts w:ascii="Arial" w:hAnsi="Arial" w:cs="Arial"/>
          <w:b/>
          <w:bCs/>
          <w:sz w:val="20"/>
          <w:szCs w:val="20"/>
        </w:rPr>
      </w:pPr>
      <w:r w:rsidRPr="00404D22">
        <w:rPr>
          <w:rFonts w:ascii="Arial" w:hAnsi="Arial" w:cs="Arial"/>
          <w:b/>
          <w:bCs/>
          <w:sz w:val="20"/>
          <w:szCs w:val="20"/>
        </w:rPr>
        <w:t>National hazard score</w:t>
      </w:r>
    </w:p>
    <w:p w14:paraId="4619CCC1" w14:textId="77777777" w:rsidR="000727DF" w:rsidRDefault="006633A3" w:rsidP="00404D22">
      <w:pPr>
        <w:spacing w:line="240" w:lineRule="auto"/>
        <w:contextualSpacing/>
        <w:rPr>
          <w:rFonts w:ascii="Arial" w:hAnsi="Arial" w:cs="Arial"/>
          <w:sz w:val="20"/>
          <w:szCs w:val="20"/>
        </w:rPr>
      </w:pPr>
      <w:r w:rsidRPr="00404D22">
        <w:rPr>
          <w:rFonts w:ascii="Arial" w:hAnsi="Arial" w:cs="Arial"/>
          <w:sz w:val="20"/>
          <w:szCs w:val="20"/>
        </w:rPr>
        <w:t>The national hazard score answers a basic question: ignoring the details of a specific site, how important is this hazard in general? It is built from five visible criteria.</w:t>
      </w:r>
    </w:p>
    <w:p w14:paraId="0294FC87" w14:textId="77777777" w:rsidR="00404D22" w:rsidRPr="00404D22" w:rsidRDefault="00404D22" w:rsidP="00404D22">
      <w:pPr>
        <w:spacing w:line="240" w:lineRule="auto"/>
        <w:contextualSpacing/>
        <w:rPr>
          <w:rFonts w:ascii="Arial" w:hAnsi="Arial" w:cs="Arial"/>
          <w:sz w:val="20"/>
          <w:szCs w:val="20"/>
        </w:rPr>
      </w:pPr>
    </w:p>
    <w:tbl>
      <w:tblPr>
        <w:tblStyle w:val="TableGrid"/>
        <w:tblW w:w="0" w:type="auto"/>
        <w:tblLook w:val="04A0" w:firstRow="1" w:lastRow="0" w:firstColumn="1" w:lastColumn="0" w:noHBand="0" w:noVBand="1"/>
      </w:tblPr>
      <w:tblGrid>
        <w:gridCol w:w="2559"/>
        <w:gridCol w:w="3960"/>
        <w:gridCol w:w="3407"/>
      </w:tblGrid>
      <w:tr w:rsidR="000727DF" w:rsidRPr="00404D22" w14:paraId="036B927A" w14:textId="77777777">
        <w:tc>
          <w:tcPr>
            <w:tcW w:w="2592" w:type="dxa"/>
            <w:shd w:val="clear" w:color="auto" w:fill="D9EAD3"/>
          </w:tcPr>
          <w:p w14:paraId="66D0E0D4"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Criterion</w:t>
            </w:r>
          </w:p>
        </w:tc>
        <w:tc>
          <w:tcPr>
            <w:tcW w:w="4032" w:type="dxa"/>
            <w:shd w:val="clear" w:color="auto" w:fill="D9EAD3"/>
          </w:tcPr>
          <w:p w14:paraId="764E0140"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Plain-language meaning</w:t>
            </w:r>
          </w:p>
        </w:tc>
        <w:tc>
          <w:tcPr>
            <w:tcW w:w="3456" w:type="dxa"/>
            <w:shd w:val="clear" w:color="auto" w:fill="D9EAD3"/>
          </w:tcPr>
          <w:p w14:paraId="2992E518"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Why it is included</w:t>
            </w:r>
          </w:p>
        </w:tc>
      </w:tr>
      <w:tr w:rsidR="000727DF" w:rsidRPr="00404D22" w14:paraId="74238F4F" w14:textId="77777777">
        <w:tc>
          <w:tcPr>
            <w:tcW w:w="2592" w:type="dxa"/>
          </w:tcPr>
          <w:p w14:paraId="50DF141B"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Exposure efficiency / infectious dose</w:t>
            </w:r>
          </w:p>
        </w:tc>
        <w:tc>
          <w:tcPr>
            <w:tcW w:w="4032" w:type="dxa"/>
          </w:tcPr>
          <w:p w14:paraId="19133C15" w14:textId="21D518EB" w:rsidR="000727DF" w:rsidRPr="00404D22" w:rsidRDefault="006633A3" w:rsidP="00404D22">
            <w:pPr>
              <w:contextualSpacing/>
              <w:rPr>
                <w:rFonts w:ascii="Arial" w:hAnsi="Arial" w:cs="Arial"/>
                <w:sz w:val="20"/>
                <w:szCs w:val="20"/>
              </w:rPr>
            </w:pPr>
            <w:r w:rsidRPr="00404D22">
              <w:rPr>
                <w:rFonts w:ascii="Arial" w:hAnsi="Arial" w:cs="Arial"/>
                <w:sz w:val="20"/>
                <w:szCs w:val="20"/>
              </w:rPr>
              <w:t>How little exposure may be needed for infection or harm</w:t>
            </w:r>
            <w:r w:rsidR="00506771">
              <w:rPr>
                <w:rFonts w:ascii="Arial" w:hAnsi="Arial" w:cs="Arial"/>
                <w:sz w:val="20"/>
                <w:szCs w:val="20"/>
              </w:rPr>
              <w:t>?</w:t>
            </w:r>
          </w:p>
        </w:tc>
        <w:tc>
          <w:tcPr>
            <w:tcW w:w="3456" w:type="dxa"/>
          </w:tcPr>
          <w:p w14:paraId="11F4B72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A hazard with a low infectious dose can matter even if it is not the most common organism.</w:t>
            </w:r>
          </w:p>
        </w:tc>
      </w:tr>
      <w:tr w:rsidR="000727DF" w:rsidRPr="00404D22" w14:paraId="3E44733C" w14:textId="77777777">
        <w:tc>
          <w:tcPr>
            <w:tcW w:w="2592" w:type="dxa"/>
          </w:tcPr>
          <w:p w14:paraId="133DCDB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Health consequence / severity</w:t>
            </w:r>
          </w:p>
        </w:tc>
        <w:tc>
          <w:tcPr>
            <w:tcW w:w="4032" w:type="dxa"/>
          </w:tcPr>
          <w:p w14:paraId="450A0E25" w14:textId="6EDFB987"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serious </w:t>
            </w:r>
            <w:proofErr w:type="gramStart"/>
            <w:r w:rsidRPr="00404D22">
              <w:rPr>
                <w:rFonts w:ascii="Arial" w:hAnsi="Arial" w:cs="Arial"/>
                <w:sz w:val="20"/>
                <w:szCs w:val="20"/>
              </w:rPr>
              <w:t>the outcome can</w:t>
            </w:r>
            <w:proofErr w:type="gramEnd"/>
            <w:r w:rsidRPr="00404D22">
              <w:rPr>
                <w:rFonts w:ascii="Arial" w:hAnsi="Arial" w:cs="Arial"/>
                <w:sz w:val="20"/>
                <w:szCs w:val="20"/>
              </w:rPr>
              <w:t xml:space="preserve"> be</w:t>
            </w:r>
            <w:r w:rsidR="00506771">
              <w:rPr>
                <w:rFonts w:ascii="Arial" w:hAnsi="Arial" w:cs="Arial"/>
                <w:sz w:val="20"/>
                <w:szCs w:val="20"/>
              </w:rPr>
              <w:t>?</w:t>
            </w:r>
          </w:p>
        </w:tc>
        <w:tc>
          <w:tcPr>
            <w:tcW w:w="3456" w:type="dxa"/>
          </w:tcPr>
          <w:p w14:paraId="2DCD7669" w14:textId="072741D5" w:rsidR="000727DF" w:rsidRPr="00404D22" w:rsidRDefault="006633A3" w:rsidP="00404D22">
            <w:pPr>
              <w:contextualSpacing/>
              <w:rPr>
                <w:rFonts w:ascii="Arial" w:hAnsi="Arial" w:cs="Arial"/>
                <w:sz w:val="20"/>
                <w:szCs w:val="20"/>
              </w:rPr>
            </w:pPr>
            <w:r w:rsidRPr="00404D22">
              <w:rPr>
                <w:rFonts w:ascii="Arial" w:hAnsi="Arial" w:cs="Arial"/>
                <w:sz w:val="20"/>
                <w:szCs w:val="20"/>
              </w:rPr>
              <w:t>Some hazards deserve more attention because the illness can be more severe.</w:t>
            </w:r>
          </w:p>
        </w:tc>
      </w:tr>
      <w:tr w:rsidR="000727DF" w:rsidRPr="00404D22" w14:paraId="5C18F9BE" w14:textId="77777777">
        <w:tc>
          <w:tcPr>
            <w:tcW w:w="2592" w:type="dxa"/>
          </w:tcPr>
          <w:p w14:paraId="63059D83"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Source pressure / shedding</w:t>
            </w:r>
          </w:p>
        </w:tc>
        <w:tc>
          <w:tcPr>
            <w:tcW w:w="4032" w:type="dxa"/>
          </w:tcPr>
          <w:p w14:paraId="697886D3" w14:textId="278EAA69"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much of the hazard is likely to </w:t>
            </w:r>
            <w:r w:rsidR="00506771">
              <w:rPr>
                <w:rFonts w:ascii="Arial" w:hAnsi="Arial" w:cs="Arial"/>
                <w:sz w:val="20"/>
                <w:szCs w:val="20"/>
              </w:rPr>
              <w:t>reach the environment?</w:t>
            </w:r>
          </w:p>
        </w:tc>
        <w:tc>
          <w:tcPr>
            <w:tcW w:w="3456" w:type="dxa"/>
          </w:tcPr>
          <w:p w14:paraId="4FD93D7E"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combines shedding/source pressure and background occurrence into one simple front-end value.</w:t>
            </w:r>
          </w:p>
        </w:tc>
      </w:tr>
      <w:tr w:rsidR="000727DF" w:rsidRPr="00404D22" w14:paraId="3BEF5BEE" w14:textId="77777777">
        <w:tc>
          <w:tcPr>
            <w:tcW w:w="2592" w:type="dxa"/>
          </w:tcPr>
          <w:p w14:paraId="4531C83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Persistence / transport</w:t>
            </w:r>
          </w:p>
        </w:tc>
        <w:tc>
          <w:tcPr>
            <w:tcW w:w="4032" w:type="dxa"/>
          </w:tcPr>
          <w:p w14:paraId="21DB9A50" w14:textId="07BFE77B"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well </w:t>
            </w:r>
            <w:r w:rsidR="00506771">
              <w:rPr>
                <w:rFonts w:ascii="Arial" w:hAnsi="Arial" w:cs="Arial"/>
                <w:sz w:val="20"/>
                <w:szCs w:val="20"/>
              </w:rPr>
              <w:t xml:space="preserve">does </w:t>
            </w:r>
            <w:r w:rsidRPr="00404D22">
              <w:rPr>
                <w:rFonts w:ascii="Arial" w:hAnsi="Arial" w:cs="Arial"/>
                <w:sz w:val="20"/>
                <w:szCs w:val="20"/>
              </w:rPr>
              <w:t>the hazard survive and move in the environment</w:t>
            </w:r>
            <w:r w:rsidR="00506771">
              <w:rPr>
                <w:rFonts w:ascii="Arial" w:hAnsi="Arial" w:cs="Arial"/>
                <w:sz w:val="20"/>
                <w:szCs w:val="20"/>
              </w:rPr>
              <w:t>?</w:t>
            </w:r>
          </w:p>
        </w:tc>
        <w:tc>
          <w:tcPr>
            <w:tcW w:w="3456" w:type="dxa"/>
          </w:tcPr>
          <w:p w14:paraId="00BBB3D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Persistent hazards are harder to manage and may remain relevant after a pollution event.</w:t>
            </w:r>
          </w:p>
        </w:tc>
      </w:tr>
      <w:tr w:rsidR="000727DF" w:rsidRPr="00404D22" w14:paraId="16966F6D" w14:textId="77777777">
        <w:tc>
          <w:tcPr>
            <w:tcW w:w="2592" w:type="dxa"/>
          </w:tcPr>
          <w:p w14:paraId="68A699F8"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Bathing evidence / confidence</w:t>
            </w:r>
          </w:p>
        </w:tc>
        <w:tc>
          <w:tcPr>
            <w:tcW w:w="4032" w:type="dxa"/>
          </w:tcPr>
          <w:p w14:paraId="5A6DA299" w14:textId="7FA2E81D"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w:t>
            </w:r>
            <w:r w:rsidR="00CB6E8F">
              <w:rPr>
                <w:rFonts w:ascii="Arial" w:hAnsi="Arial" w:cs="Arial"/>
                <w:sz w:val="20"/>
                <w:szCs w:val="20"/>
              </w:rPr>
              <w:t>much evid</w:t>
            </w:r>
            <w:r w:rsidRPr="00404D22">
              <w:rPr>
                <w:rFonts w:ascii="Arial" w:hAnsi="Arial" w:cs="Arial"/>
                <w:sz w:val="20"/>
                <w:szCs w:val="20"/>
              </w:rPr>
              <w:t xml:space="preserve">ence </w:t>
            </w:r>
            <w:r w:rsidR="00CB6E8F">
              <w:rPr>
                <w:rFonts w:ascii="Arial" w:hAnsi="Arial" w:cs="Arial"/>
                <w:sz w:val="20"/>
                <w:szCs w:val="20"/>
              </w:rPr>
              <w:t xml:space="preserve">is there to link this </w:t>
            </w:r>
            <w:r w:rsidRPr="00404D22">
              <w:rPr>
                <w:rFonts w:ascii="Arial" w:hAnsi="Arial" w:cs="Arial"/>
                <w:sz w:val="20"/>
                <w:szCs w:val="20"/>
              </w:rPr>
              <w:t xml:space="preserve">hazard to bathing or </w:t>
            </w:r>
            <w:proofErr w:type="gramStart"/>
            <w:r w:rsidRPr="00404D22">
              <w:rPr>
                <w:rFonts w:ascii="Arial" w:hAnsi="Arial" w:cs="Arial"/>
                <w:sz w:val="20"/>
                <w:szCs w:val="20"/>
              </w:rPr>
              <w:t>recreational-water</w:t>
            </w:r>
            <w:r w:rsidR="00CB6E8F">
              <w:rPr>
                <w:rFonts w:ascii="Arial" w:hAnsi="Arial" w:cs="Arial"/>
                <w:sz w:val="20"/>
                <w:szCs w:val="20"/>
              </w:rPr>
              <w:t>s</w:t>
            </w:r>
            <w:proofErr w:type="gramEnd"/>
            <w:r w:rsidRPr="00404D22">
              <w:rPr>
                <w:rFonts w:ascii="Arial" w:hAnsi="Arial" w:cs="Arial"/>
                <w:sz w:val="20"/>
                <w:szCs w:val="20"/>
              </w:rPr>
              <w:t>.</w:t>
            </w:r>
          </w:p>
        </w:tc>
        <w:tc>
          <w:tcPr>
            <w:tcW w:w="3456" w:type="dxa"/>
          </w:tcPr>
          <w:p w14:paraId="3B03A9D0"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keeps the simplified model anchored to the evidence base.</w:t>
            </w:r>
          </w:p>
        </w:tc>
      </w:tr>
    </w:tbl>
    <w:p w14:paraId="148E88D3" w14:textId="77777777" w:rsidR="00CB6E8F" w:rsidRDefault="00CB6E8F" w:rsidP="00404D22">
      <w:pPr>
        <w:spacing w:line="240" w:lineRule="auto"/>
        <w:contextualSpacing/>
        <w:rPr>
          <w:rFonts w:ascii="Arial" w:hAnsi="Arial" w:cs="Arial"/>
          <w:sz w:val="20"/>
          <w:szCs w:val="20"/>
        </w:rPr>
      </w:pPr>
    </w:p>
    <w:p w14:paraId="243D5A6D" w14:textId="36E90370"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 xml:space="preserve">The </w:t>
      </w:r>
      <w:r w:rsidR="00CB6E8F">
        <w:rPr>
          <w:rFonts w:ascii="Arial" w:hAnsi="Arial" w:cs="Arial"/>
          <w:sz w:val="20"/>
          <w:szCs w:val="20"/>
        </w:rPr>
        <w:t>user can</w:t>
      </w:r>
      <w:r w:rsidRPr="00404D22">
        <w:rPr>
          <w:rFonts w:ascii="Arial" w:hAnsi="Arial" w:cs="Arial"/>
          <w:sz w:val="20"/>
          <w:szCs w:val="20"/>
        </w:rPr>
        <w:t xml:space="preserve"> change the weights attached to these five criteria. The score is always </w:t>
      </w:r>
      <w:proofErr w:type="spellStart"/>
      <w:r w:rsidRPr="00404D22">
        <w:rPr>
          <w:rFonts w:ascii="Arial" w:hAnsi="Arial" w:cs="Arial"/>
          <w:sz w:val="20"/>
          <w:szCs w:val="20"/>
        </w:rPr>
        <w:t>normalised</w:t>
      </w:r>
      <w:proofErr w:type="spellEnd"/>
      <w:r w:rsidRPr="00404D22">
        <w:rPr>
          <w:rFonts w:ascii="Arial" w:hAnsi="Arial" w:cs="Arial"/>
          <w:sz w:val="20"/>
          <w:szCs w:val="20"/>
        </w:rPr>
        <w:t>, which means the weights do not need to add up to exactly 100 for the formula to work, although the Dashboard shows the total so the reader can see what has been entered.</w:t>
      </w:r>
    </w:p>
    <w:p w14:paraId="60C2D96B" w14:textId="78F00A22" w:rsidR="000727DF" w:rsidRPr="00A8603D" w:rsidRDefault="006633A3" w:rsidP="00A8603D">
      <w:pPr>
        <w:pStyle w:val="NoSpacing"/>
        <w:rPr>
          <w:rFonts w:ascii="Arial" w:hAnsi="Arial" w:cs="Arial"/>
          <w:b/>
          <w:bCs/>
        </w:rPr>
      </w:pPr>
      <w:r w:rsidRPr="00A8603D">
        <w:rPr>
          <w:rFonts w:ascii="Arial" w:hAnsi="Arial" w:cs="Arial"/>
          <w:b/>
          <w:bCs/>
        </w:rPr>
        <w:t>Site relevance score</w:t>
      </w:r>
    </w:p>
    <w:p w14:paraId="2E1BC533" w14:textId="77777777" w:rsidR="000727DF" w:rsidRDefault="006633A3" w:rsidP="00404D22">
      <w:pPr>
        <w:spacing w:line="240" w:lineRule="auto"/>
        <w:contextualSpacing/>
        <w:rPr>
          <w:rFonts w:ascii="Arial" w:hAnsi="Arial" w:cs="Arial"/>
          <w:sz w:val="20"/>
          <w:szCs w:val="20"/>
        </w:rPr>
      </w:pPr>
      <w:r w:rsidRPr="00404D22">
        <w:rPr>
          <w:rFonts w:ascii="Arial" w:hAnsi="Arial" w:cs="Arial"/>
          <w:sz w:val="20"/>
          <w:szCs w:val="20"/>
        </w:rPr>
        <w:t>The site relevance score answers a different question: given the kind of site currently being imagined, how relevant is this hazard here? This score is driven by six site levers on the Dashboard.</w:t>
      </w:r>
    </w:p>
    <w:p w14:paraId="137E2788" w14:textId="77777777" w:rsidR="00A8603D" w:rsidRPr="00404D22" w:rsidRDefault="00A8603D" w:rsidP="00404D22">
      <w:pPr>
        <w:spacing w:line="240" w:lineRule="auto"/>
        <w:contextualSpacing/>
        <w:rPr>
          <w:rFonts w:ascii="Arial" w:hAnsi="Arial" w:cs="Arial"/>
          <w:sz w:val="20"/>
          <w:szCs w:val="20"/>
        </w:rPr>
      </w:pPr>
    </w:p>
    <w:tbl>
      <w:tblPr>
        <w:tblStyle w:val="TableGrid"/>
        <w:tblW w:w="0" w:type="auto"/>
        <w:tblLook w:val="04A0" w:firstRow="1" w:lastRow="0" w:firstColumn="1" w:lastColumn="0" w:noHBand="0" w:noVBand="1"/>
      </w:tblPr>
      <w:tblGrid>
        <w:gridCol w:w="2833"/>
        <w:gridCol w:w="3826"/>
        <w:gridCol w:w="3267"/>
      </w:tblGrid>
      <w:tr w:rsidR="000727DF" w:rsidRPr="00404D22" w14:paraId="76B9D292" w14:textId="77777777">
        <w:tc>
          <w:tcPr>
            <w:tcW w:w="2880" w:type="dxa"/>
            <w:shd w:val="clear" w:color="auto" w:fill="D9EAD3"/>
          </w:tcPr>
          <w:p w14:paraId="7A68FB82"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Site lever</w:t>
            </w:r>
          </w:p>
        </w:tc>
        <w:tc>
          <w:tcPr>
            <w:tcW w:w="3888" w:type="dxa"/>
            <w:shd w:val="clear" w:color="auto" w:fill="D9EAD3"/>
          </w:tcPr>
          <w:p w14:paraId="28859D18"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What it means</w:t>
            </w:r>
          </w:p>
        </w:tc>
        <w:tc>
          <w:tcPr>
            <w:tcW w:w="3312" w:type="dxa"/>
            <w:shd w:val="clear" w:color="auto" w:fill="D9EAD3"/>
          </w:tcPr>
          <w:p w14:paraId="28E866BB"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Typical effect on the ranking</w:t>
            </w:r>
          </w:p>
        </w:tc>
      </w:tr>
      <w:tr w:rsidR="000727DF" w:rsidRPr="00404D22" w14:paraId="10BF1E4B" w14:textId="77777777">
        <w:tc>
          <w:tcPr>
            <w:tcW w:w="2880" w:type="dxa"/>
          </w:tcPr>
          <w:p w14:paraId="51D0258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Human sewage / treated effluent / CSO influence</w:t>
            </w:r>
          </w:p>
        </w:tc>
        <w:tc>
          <w:tcPr>
            <w:tcW w:w="3888" w:type="dxa"/>
          </w:tcPr>
          <w:p w14:paraId="393D451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strongly the site is affected by human wastewater pathways.</w:t>
            </w:r>
          </w:p>
        </w:tc>
        <w:tc>
          <w:tcPr>
            <w:tcW w:w="3312" w:type="dxa"/>
          </w:tcPr>
          <w:p w14:paraId="7E90B6BB" w14:textId="712DEB7C"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Raises </w:t>
            </w:r>
            <w:r w:rsidR="00FD068A">
              <w:rPr>
                <w:rFonts w:ascii="Arial" w:hAnsi="Arial" w:cs="Arial"/>
                <w:sz w:val="20"/>
                <w:szCs w:val="20"/>
              </w:rPr>
              <w:t>the risk of sewage-linked enteric hazards,</w:t>
            </w:r>
            <w:r w:rsidRPr="00404D22">
              <w:rPr>
                <w:rFonts w:ascii="Arial" w:hAnsi="Arial" w:cs="Arial"/>
                <w:sz w:val="20"/>
                <w:szCs w:val="20"/>
              </w:rPr>
              <w:t xml:space="preserve"> such as norovirus, Shigella, adenovirus, and hepatitis A virus.</w:t>
            </w:r>
          </w:p>
        </w:tc>
      </w:tr>
      <w:tr w:rsidR="000727DF" w:rsidRPr="00404D22" w14:paraId="101595B2" w14:textId="77777777">
        <w:tc>
          <w:tcPr>
            <w:tcW w:w="2880" w:type="dxa"/>
          </w:tcPr>
          <w:p w14:paraId="0EF9EE8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Agriculture / livestock runoff influence</w:t>
            </w:r>
          </w:p>
        </w:tc>
        <w:tc>
          <w:tcPr>
            <w:tcW w:w="3888" w:type="dxa"/>
          </w:tcPr>
          <w:p w14:paraId="25415FC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strongly the site is affected by livestock, slurry, and farm runoff.</w:t>
            </w:r>
          </w:p>
        </w:tc>
        <w:tc>
          <w:tcPr>
            <w:tcW w:w="3312" w:type="dxa"/>
          </w:tcPr>
          <w:p w14:paraId="5803425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Raises hazards such as Campylobacter, Cryptosporidium, STEC, Giardia, and some Salmonella pathways.</w:t>
            </w:r>
          </w:p>
        </w:tc>
      </w:tr>
      <w:tr w:rsidR="000727DF" w:rsidRPr="00404D22" w14:paraId="68AAAF20" w14:textId="77777777">
        <w:tc>
          <w:tcPr>
            <w:tcW w:w="2880" w:type="dxa"/>
          </w:tcPr>
          <w:p w14:paraId="271C9213"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Urban runoff / stormwater influence</w:t>
            </w:r>
          </w:p>
        </w:tc>
        <w:tc>
          <w:tcPr>
            <w:tcW w:w="3888" w:type="dxa"/>
          </w:tcPr>
          <w:p w14:paraId="0E1CB687"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strongly the site is affected by urban drainage and stormwater pathways.</w:t>
            </w:r>
          </w:p>
        </w:tc>
        <w:tc>
          <w:tcPr>
            <w:tcW w:w="3312" w:type="dxa"/>
          </w:tcPr>
          <w:p w14:paraId="7E93016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Raises hazards that fit urban runoff, misconnection, pet/bird </w:t>
            </w:r>
            <w:proofErr w:type="spellStart"/>
            <w:r w:rsidRPr="00404D22">
              <w:rPr>
                <w:rFonts w:ascii="Arial" w:hAnsi="Arial" w:cs="Arial"/>
                <w:sz w:val="20"/>
                <w:szCs w:val="20"/>
              </w:rPr>
              <w:t>faeces</w:t>
            </w:r>
            <w:proofErr w:type="spellEnd"/>
            <w:r w:rsidRPr="00404D22">
              <w:rPr>
                <w:rFonts w:ascii="Arial" w:hAnsi="Arial" w:cs="Arial"/>
                <w:sz w:val="20"/>
                <w:szCs w:val="20"/>
              </w:rPr>
              <w:t>, or stormwater pathways.</w:t>
            </w:r>
          </w:p>
        </w:tc>
      </w:tr>
      <w:tr w:rsidR="000727DF" w:rsidRPr="00404D22" w14:paraId="7B95EA20" w14:textId="77777777">
        <w:tc>
          <w:tcPr>
            <w:tcW w:w="2880" w:type="dxa"/>
          </w:tcPr>
          <w:p w14:paraId="770D5AA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Riverine / event variability</w:t>
            </w:r>
          </w:p>
        </w:tc>
        <w:tc>
          <w:tcPr>
            <w:tcW w:w="3888" w:type="dxa"/>
          </w:tcPr>
          <w:p w14:paraId="565AC3EE"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event-driven and inland/freshwater the site is.</w:t>
            </w:r>
          </w:p>
        </w:tc>
        <w:tc>
          <w:tcPr>
            <w:tcW w:w="3312" w:type="dxa"/>
          </w:tcPr>
          <w:p w14:paraId="731B5B99" w14:textId="3915E8AA" w:rsidR="000727DF" w:rsidRPr="00404D22" w:rsidRDefault="006633A3" w:rsidP="00404D22">
            <w:pPr>
              <w:contextualSpacing/>
              <w:rPr>
                <w:rFonts w:ascii="Arial" w:hAnsi="Arial" w:cs="Arial"/>
                <w:sz w:val="20"/>
                <w:szCs w:val="20"/>
              </w:rPr>
            </w:pPr>
            <w:r w:rsidRPr="00404D22">
              <w:rPr>
                <w:rFonts w:ascii="Arial" w:hAnsi="Arial" w:cs="Arial"/>
                <w:sz w:val="20"/>
                <w:szCs w:val="20"/>
              </w:rPr>
              <w:t>Raises hazards that matter more in rivers and after weather/runoff events.</w:t>
            </w:r>
            <w:r w:rsidR="0042343E">
              <w:rPr>
                <w:rFonts w:ascii="Arial" w:hAnsi="Arial" w:cs="Arial"/>
                <w:sz w:val="20"/>
                <w:szCs w:val="20"/>
              </w:rPr>
              <w:t xml:space="preserve"> </w:t>
            </w:r>
            <w:proofErr w:type="gramStart"/>
            <w:r w:rsidR="0042343E">
              <w:rPr>
                <w:rFonts w:ascii="Arial" w:hAnsi="Arial" w:cs="Arial"/>
                <w:sz w:val="20"/>
                <w:szCs w:val="20"/>
              </w:rPr>
              <w:t>Temporally-relevant</w:t>
            </w:r>
            <w:proofErr w:type="gramEnd"/>
            <w:r w:rsidR="0042343E">
              <w:rPr>
                <w:rFonts w:ascii="Arial" w:hAnsi="Arial" w:cs="Arial"/>
                <w:sz w:val="20"/>
                <w:szCs w:val="20"/>
              </w:rPr>
              <w:t xml:space="preserve"> variable.</w:t>
            </w:r>
          </w:p>
        </w:tc>
      </w:tr>
      <w:tr w:rsidR="000727DF" w:rsidRPr="00404D22" w14:paraId="368A1D36" w14:textId="77777777">
        <w:tc>
          <w:tcPr>
            <w:tcW w:w="2880" w:type="dxa"/>
          </w:tcPr>
          <w:p w14:paraId="4143BD0B"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Warm / brackish / aerosol / bloom conditions</w:t>
            </w:r>
          </w:p>
        </w:tc>
        <w:tc>
          <w:tcPr>
            <w:tcW w:w="3888" w:type="dxa"/>
          </w:tcPr>
          <w:p w14:paraId="5EB82CBB"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much the site behaves like a warm, stagnant, bloom-prone, </w:t>
            </w:r>
            <w:proofErr w:type="spellStart"/>
            <w:r w:rsidRPr="00404D22">
              <w:rPr>
                <w:rFonts w:ascii="Arial" w:hAnsi="Arial" w:cs="Arial"/>
                <w:sz w:val="20"/>
                <w:szCs w:val="20"/>
              </w:rPr>
              <w:t>aerosolised</w:t>
            </w:r>
            <w:proofErr w:type="spellEnd"/>
            <w:r w:rsidRPr="00404D22">
              <w:rPr>
                <w:rFonts w:ascii="Arial" w:hAnsi="Arial" w:cs="Arial"/>
                <w:sz w:val="20"/>
                <w:szCs w:val="20"/>
              </w:rPr>
              <w:t>, or brackish setting.</w:t>
            </w:r>
          </w:p>
        </w:tc>
        <w:tc>
          <w:tcPr>
            <w:tcW w:w="3312" w:type="dxa"/>
          </w:tcPr>
          <w:p w14:paraId="5A98E4B0" w14:textId="6D1C305B" w:rsidR="000727DF" w:rsidRPr="00404D22" w:rsidRDefault="006633A3" w:rsidP="00404D22">
            <w:pPr>
              <w:contextualSpacing/>
              <w:rPr>
                <w:rFonts w:ascii="Arial" w:hAnsi="Arial" w:cs="Arial"/>
                <w:sz w:val="20"/>
                <w:szCs w:val="20"/>
              </w:rPr>
            </w:pPr>
            <w:r w:rsidRPr="00404D22">
              <w:rPr>
                <w:rFonts w:ascii="Arial" w:hAnsi="Arial" w:cs="Arial"/>
                <w:sz w:val="20"/>
                <w:szCs w:val="20"/>
              </w:rPr>
              <w:t>Raises hazards such as Vibrio, Legionella, Naegleria, and the cyanobacteria module.</w:t>
            </w:r>
          </w:p>
        </w:tc>
      </w:tr>
      <w:tr w:rsidR="000727DF" w:rsidRPr="00404D22" w14:paraId="4C64CD1F" w14:textId="77777777">
        <w:tc>
          <w:tcPr>
            <w:tcW w:w="2880" w:type="dxa"/>
          </w:tcPr>
          <w:p w14:paraId="6B8F8252"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Measured E. coli / enterococci burden</w:t>
            </w:r>
          </w:p>
        </w:tc>
        <w:tc>
          <w:tcPr>
            <w:tcW w:w="3888" w:type="dxa"/>
          </w:tcPr>
          <w:p w14:paraId="7B877E98" w14:textId="0EB710E4"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strong the </w:t>
            </w:r>
            <w:proofErr w:type="spellStart"/>
            <w:r w:rsidRPr="00404D22">
              <w:rPr>
                <w:rFonts w:ascii="Arial" w:hAnsi="Arial" w:cs="Arial"/>
                <w:sz w:val="20"/>
                <w:szCs w:val="20"/>
              </w:rPr>
              <w:t>faecal</w:t>
            </w:r>
            <w:proofErr w:type="spellEnd"/>
            <w:r w:rsidRPr="00404D22">
              <w:rPr>
                <w:rFonts w:ascii="Arial" w:hAnsi="Arial" w:cs="Arial"/>
                <w:sz w:val="20"/>
                <w:szCs w:val="20"/>
              </w:rPr>
              <w:t>-indicator signal is at the site</w:t>
            </w:r>
            <w:r w:rsidR="00524178">
              <w:rPr>
                <w:rFonts w:ascii="Arial" w:hAnsi="Arial" w:cs="Arial"/>
                <w:sz w:val="20"/>
                <w:szCs w:val="20"/>
              </w:rPr>
              <w:t xml:space="preserve"> (known-known)</w:t>
            </w:r>
          </w:p>
        </w:tc>
        <w:tc>
          <w:tcPr>
            <w:tcW w:w="3312" w:type="dxa"/>
          </w:tcPr>
          <w:p w14:paraId="18108256"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Raises rows that are more relevant when bacterial/</w:t>
            </w:r>
            <w:proofErr w:type="spellStart"/>
            <w:r w:rsidRPr="00404D22">
              <w:rPr>
                <w:rFonts w:ascii="Arial" w:hAnsi="Arial" w:cs="Arial"/>
                <w:sz w:val="20"/>
                <w:szCs w:val="20"/>
              </w:rPr>
              <w:t>faecal</w:t>
            </w:r>
            <w:proofErr w:type="spellEnd"/>
            <w:r w:rsidRPr="00404D22">
              <w:rPr>
                <w:rFonts w:ascii="Arial" w:hAnsi="Arial" w:cs="Arial"/>
                <w:sz w:val="20"/>
                <w:szCs w:val="20"/>
              </w:rPr>
              <w:t xml:space="preserve"> loads are already high.</w:t>
            </w:r>
          </w:p>
        </w:tc>
      </w:tr>
    </w:tbl>
    <w:p w14:paraId="16AFA037" w14:textId="77777777" w:rsidR="00524178" w:rsidRDefault="00524178" w:rsidP="00404D22">
      <w:pPr>
        <w:spacing w:line="240" w:lineRule="auto"/>
        <w:contextualSpacing/>
        <w:rPr>
          <w:rFonts w:ascii="Arial" w:hAnsi="Arial" w:cs="Arial"/>
          <w:sz w:val="20"/>
          <w:szCs w:val="20"/>
        </w:rPr>
      </w:pPr>
    </w:p>
    <w:p w14:paraId="521DFAB9" w14:textId="200FBC18"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lastRenderedPageBreak/>
        <w:t>A separate input called 'Site influence on final ranking (%)' controls how much the site relevance score is allowed to pull the final ranking away from the national hazard score. At 0%, the workbook behaves like a national priority table. At 100%, the workbook behaves like a pure site-fit model.</w:t>
      </w:r>
    </w:p>
    <w:p w14:paraId="63286A97" w14:textId="6065B200" w:rsidR="000727DF" w:rsidRPr="00524178" w:rsidRDefault="006633A3" w:rsidP="00524178">
      <w:pPr>
        <w:pStyle w:val="NoSpacing"/>
        <w:rPr>
          <w:rFonts w:ascii="Arial" w:hAnsi="Arial" w:cs="Arial"/>
        </w:rPr>
      </w:pPr>
      <w:r w:rsidRPr="00524178">
        <w:rPr>
          <w:rFonts w:ascii="Arial" w:hAnsi="Arial" w:cs="Arial"/>
        </w:rPr>
        <w:t>Final score</w:t>
      </w:r>
    </w:p>
    <w:p w14:paraId="208E0577" w14:textId="77777777"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The final score is a blend. It combines the national hazard score and the site relevance score. This was done because neither a purely national ranking nor a purely site-specific ranking is enough on its own. National hazard strength matters, but so does local site context.</w:t>
      </w:r>
    </w:p>
    <w:p w14:paraId="03745B35" w14:textId="77777777"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In plain language, the formula is: Final score = National score × (1 – site influence) + Site relevance score × site influence.</w:t>
      </w:r>
    </w:p>
    <w:p w14:paraId="36884ACE" w14:textId="5F7C530E" w:rsidR="000727DF" w:rsidRPr="00404D22" w:rsidRDefault="006633A3" w:rsidP="00B6363E">
      <w:pPr>
        <w:pStyle w:val="Heading1"/>
      </w:pPr>
      <w:r w:rsidRPr="00404D22">
        <w:t>Pathogen Ranking</w:t>
      </w:r>
      <w:r w:rsidR="005E6C09">
        <w:t xml:space="preserve"> </w:t>
      </w:r>
      <w:r w:rsidR="004D6EF9">
        <w:t>Sheet</w:t>
      </w:r>
    </w:p>
    <w:p w14:paraId="6679C034" w14:textId="77777777" w:rsidR="005E6C09" w:rsidRDefault="006633A3" w:rsidP="005E6C09">
      <w:pPr>
        <w:spacing w:line="240" w:lineRule="auto"/>
        <w:contextualSpacing/>
        <w:rPr>
          <w:rFonts w:ascii="Arial" w:hAnsi="Arial" w:cs="Arial"/>
          <w:sz w:val="20"/>
          <w:szCs w:val="20"/>
        </w:rPr>
      </w:pPr>
      <w:r w:rsidRPr="00404D22">
        <w:rPr>
          <w:rFonts w:ascii="Arial" w:hAnsi="Arial" w:cs="Arial"/>
          <w:sz w:val="20"/>
          <w:szCs w:val="20"/>
        </w:rPr>
        <w:t xml:space="preserve">This is the main scored table. </w:t>
      </w:r>
    </w:p>
    <w:p w14:paraId="41228DE2" w14:textId="59372478" w:rsidR="000727DF" w:rsidRPr="00404D22" w:rsidRDefault="000727DF" w:rsidP="005E6C09">
      <w:pPr>
        <w:spacing w:line="240" w:lineRule="auto"/>
        <w:contextualSpacing/>
        <w:rPr>
          <w:rFonts w:ascii="Arial" w:hAnsi="Arial" w:cs="Arial"/>
          <w:sz w:val="20"/>
          <w:szCs w:val="20"/>
        </w:rPr>
      </w:pPr>
    </w:p>
    <w:tbl>
      <w:tblPr>
        <w:tblStyle w:val="TableGrid"/>
        <w:tblW w:w="0" w:type="auto"/>
        <w:tblLook w:val="04A0" w:firstRow="1" w:lastRow="0" w:firstColumn="1" w:lastColumn="0" w:noHBand="0" w:noVBand="1"/>
      </w:tblPr>
      <w:tblGrid>
        <w:gridCol w:w="1872"/>
        <w:gridCol w:w="3888"/>
        <w:gridCol w:w="4032"/>
      </w:tblGrid>
      <w:tr w:rsidR="000727DF" w:rsidRPr="00404D22" w14:paraId="7CAA8882" w14:textId="77777777">
        <w:tc>
          <w:tcPr>
            <w:tcW w:w="1872" w:type="dxa"/>
            <w:shd w:val="clear" w:color="auto" w:fill="D9EAD3"/>
          </w:tcPr>
          <w:p w14:paraId="65A9F103"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Column</w:t>
            </w:r>
          </w:p>
        </w:tc>
        <w:tc>
          <w:tcPr>
            <w:tcW w:w="3888" w:type="dxa"/>
            <w:shd w:val="clear" w:color="auto" w:fill="D9EAD3"/>
          </w:tcPr>
          <w:p w14:paraId="438FFF18"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Meaning</w:t>
            </w:r>
          </w:p>
        </w:tc>
        <w:tc>
          <w:tcPr>
            <w:tcW w:w="4032" w:type="dxa"/>
            <w:shd w:val="clear" w:color="auto" w:fill="D9EAD3"/>
          </w:tcPr>
          <w:p w14:paraId="063A10FE"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Why it exists</w:t>
            </w:r>
          </w:p>
        </w:tc>
      </w:tr>
      <w:tr w:rsidR="000727DF" w:rsidRPr="00404D22" w14:paraId="7ECAFD18" w14:textId="77777777">
        <w:tc>
          <w:tcPr>
            <w:tcW w:w="1872" w:type="dxa"/>
          </w:tcPr>
          <w:p w14:paraId="3543D1D2"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Rank</w:t>
            </w:r>
          </w:p>
        </w:tc>
        <w:tc>
          <w:tcPr>
            <w:tcW w:w="3888" w:type="dxa"/>
          </w:tcPr>
          <w:p w14:paraId="05D54307"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The current position of the row once the final score has been calculated.</w:t>
            </w:r>
          </w:p>
        </w:tc>
        <w:tc>
          <w:tcPr>
            <w:tcW w:w="4032" w:type="dxa"/>
          </w:tcPr>
          <w:p w14:paraId="61791FEF"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gives the ordering that most readers care about first.</w:t>
            </w:r>
          </w:p>
        </w:tc>
      </w:tr>
      <w:tr w:rsidR="000727DF" w:rsidRPr="00404D22" w14:paraId="194D0A81" w14:textId="77777777">
        <w:tc>
          <w:tcPr>
            <w:tcW w:w="1872" w:type="dxa"/>
          </w:tcPr>
          <w:p w14:paraId="4C5C89C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Pathogen / hazard</w:t>
            </w:r>
          </w:p>
        </w:tc>
        <w:tc>
          <w:tcPr>
            <w:tcW w:w="3888" w:type="dxa"/>
          </w:tcPr>
          <w:p w14:paraId="151EDED4"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The organism or hazard being considered.</w:t>
            </w:r>
          </w:p>
        </w:tc>
        <w:tc>
          <w:tcPr>
            <w:tcW w:w="4032" w:type="dxa"/>
          </w:tcPr>
          <w:p w14:paraId="5C5739B0"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is the row label.</w:t>
            </w:r>
          </w:p>
        </w:tc>
      </w:tr>
      <w:tr w:rsidR="000727DF" w:rsidRPr="00404D22" w14:paraId="350C96B1" w14:textId="77777777">
        <w:tc>
          <w:tcPr>
            <w:tcW w:w="1872" w:type="dxa"/>
          </w:tcPr>
          <w:p w14:paraId="3B98AA1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Model category</w:t>
            </w:r>
          </w:p>
        </w:tc>
        <w:tc>
          <w:tcPr>
            <w:tcW w:w="3888" w:type="dxa"/>
          </w:tcPr>
          <w:p w14:paraId="6AC2FDA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What kind of row it is in the risk framework.</w:t>
            </w:r>
          </w:p>
        </w:tc>
        <w:tc>
          <w:tcPr>
            <w:tcW w:w="4032" w:type="dxa"/>
          </w:tcPr>
          <w:p w14:paraId="558A4882"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distinguishes, for example, core causal pathogens from contextual or watchlist hazards.</w:t>
            </w:r>
          </w:p>
        </w:tc>
      </w:tr>
      <w:tr w:rsidR="000727DF" w:rsidRPr="00404D22" w14:paraId="1357F8C7" w14:textId="77777777">
        <w:tc>
          <w:tcPr>
            <w:tcW w:w="1872" w:type="dxa"/>
          </w:tcPr>
          <w:p w14:paraId="3EFDDA9E"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National policy status</w:t>
            </w:r>
          </w:p>
        </w:tc>
        <w:tc>
          <w:tcPr>
            <w:tcW w:w="3888" w:type="dxa"/>
          </w:tcPr>
          <w:p w14:paraId="2BB8C2D4"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national policy should treat the row: core, conditional, watch, or similar.</w:t>
            </w:r>
          </w:p>
        </w:tc>
        <w:tc>
          <w:tcPr>
            <w:tcW w:w="4032" w:type="dxa"/>
          </w:tcPr>
          <w:p w14:paraId="6A171A47"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shows whether the row deserves routine attention or mostly situational attention.</w:t>
            </w:r>
          </w:p>
        </w:tc>
      </w:tr>
      <w:tr w:rsidR="000727DF" w:rsidRPr="00404D22" w14:paraId="6A6FC31F" w14:textId="77777777">
        <w:tc>
          <w:tcPr>
            <w:tcW w:w="1872" w:type="dxa"/>
          </w:tcPr>
          <w:p w14:paraId="30EF9BBF"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Model role</w:t>
            </w:r>
          </w:p>
        </w:tc>
        <w:tc>
          <w:tcPr>
            <w:tcW w:w="3888" w:type="dxa"/>
          </w:tcPr>
          <w:p w14:paraId="7336C3B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What job the row performs inside the model.</w:t>
            </w:r>
          </w:p>
        </w:tc>
        <w:tc>
          <w:tcPr>
            <w:tcW w:w="4032" w:type="dxa"/>
          </w:tcPr>
          <w:p w14:paraId="16FFB28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explains whether the row is acting as a main ranked hazard, a watch item, or something else.</w:t>
            </w:r>
          </w:p>
        </w:tc>
      </w:tr>
    </w:tbl>
    <w:p w14:paraId="5C9D684F" w14:textId="77777777" w:rsidR="000727DF" w:rsidRPr="00404D22" w:rsidRDefault="006633A3" w:rsidP="00404D22">
      <w:pPr>
        <w:pStyle w:val="Heading3"/>
        <w:spacing w:line="240" w:lineRule="auto"/>
        <w:contextualSpacing/>
        <w:rPr>
          <w:rFonts w:ascii="Arial" w:hAnsi="Arial" w:cs="Arial"/>
          <w:sz w:val="20"/>
          <w:szCs w:val="20"/>
        </w:rPr>
      </w:pPr>
      <w:r w:rsidRPr="00404D22">
        <w:rPr>
          <w:rFonts w:ascii="Arial" w:hAnsi="Arial" w:cs="Arial"/>
          <w:sz w:val="20"/>
          <w:szCs w:val="20"/>
        </w:rPr>
        <w:t>Hazard-strength columns</w:t>
      </w:r>
    </w:p>
    <w:tbl>
      <w:tblPr>
        <w:tblStyle w:val="TableGrid"/>
        <w:tblW w:w="0" w:type="auto"/>
        <w:tblLook w:val="04A0" w:firstRow="1" w:lastRow="0" w:firstColumn="1" w:lastColumn="0" w:noHBand="0" w:noVBand="1"/>
      </w:tblPr>
      <w:tblGrid>
        <w:gridCol w:w="2670"/>
        <w:gridCol w:w="3489"/>
        <w:gridCol w:w="3767"/>
      </w:tblGrid>
      <w:tr w:rsidR="000727DF" w:rsidRPr="00404D22" w14:paraId="15587E98" w14:textId="77777777">
        <w:tc>
          <w:tcPr>
            <w:tcW w:w="2736" w:type="dxa"/>
            <w:shd w:val="clear" w:color="auto" w:fill="D9EAD3"/>
          </w:tcPr>
          <w:p w14:paraId="1DB775B2"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Column</w:t>
            </w:r>
          </w:p>
        </w:tc>
        <w:tc>
          <w:tcPr>
            <w:tcW w:w="3600" w:type="dxa"/>
            <w:shd w:val="clear" w:color="auto" w:fill="D9EAD3"/>
          </w:tcPr>
          <w:p w14:paraId="222ADCB9"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Meaning</w:t>
            </w:r>
          </w:p>
        </w:tc>
        <w:tc>
          <w:tcPr>
            <w:tcW w:w="3888" w:type="dxa"/>
            <w:shd w:val="clear" w:color="auto" w:fill="D9EAD3"/>
          </w:tcPr>
          <w:p w14:paraId="61625B61"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Why it exists</w:t>
            </w:r>
          </w:p>
        </w:tc>
      </w:tr>
      <w:tr w:rsidR="000727DF" w:rsidRPr="00404D22" w14:paraId="22DBFBA6" w14:textId="77777777">
        <w:tc>
          <w:tcPr>
            <w:tcW w:w="2736" w:type="dxa"/>
          </w:tcPr>
          <w:p w14:paraId="7EFD4556"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Exposure efficiency / infectious dose</w:t>
            </w:r>
          </w:p>
        </w:tc>
        <w:tc>
          <w:tcPr>
            <w:tcW w:w="3600" w:type="dxa"/>
          </w:tcPr>
          <w:p w14:paraId="5559F65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readily exposure could lead to infection or harm.</w:t>
            </w:r>
          </w:p>
        </w:tc>
        <w:tc>
          <w:tcPr>
            <w:tcW w:w="3888" w:type="dxa"/>
          </w:tcPr>
          <w:p w14:paraId="774B67D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Low-dose hazards can be important even when they are not the most common.</w:t>
            </w:r>
          </w:p>
        </w:tc>
      </w:tr>
      <w:tr w:rsidR="000727DF" w:rsidRPr="00404D22" w14:paraId="7B17AB62" w14:textId="77777777">
        <w:tc>
          <w:tcPr>
            <w:tcW w:w="2736" w:type="dxa"/>
          </w:tcPr>
          <w:p w14:paraId="6C51E70B"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Health consequence / severity</w:t>
            </w:r>
          </w:p>
        </w:tc>
        <w:tc>
          <w:tcPr>
            <w:tcW w:w="3600" w:type="dxa"/>
          </w:tcPr>
          <w:p w14:paraId="1D1985B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severe the health outcome can be.</w:t>
            </w:r>
          </w:p>
        </w:tc>
        <w:tc>
          <w:tcPr>
            <w:tcW w:w="3888" w:type="dxa"/>
          </w:tcPr>
          <w:p w14:paraId="772C5722"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keeps the model from treating all organisms as equally serious.</w:t>
            </w:r>
          </w:p>
        </w:tc>
      </w:tr>
      <w:tr w:rsidR="000727DF" w:rsidRPr="00404D22" w14:paraId="530F5EB4" w14:textId="77777777">
        <w:tc>
          <w:tcPr>
            <w:tcW w:w="2736" w:type="dxa"/>
          </w:tcPr>
          <w:p w14:paraId="5616CE8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Source pressure / shedding</w:t>
            </w:r>
          </w:p>
        </w:tc>
        <w:tc>
          <w:tcPr>
            <w:tcW w:w="3600" w:type="dxa"/>
          </w:tcPr>
          <w:p w14:paraId="43FD071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much of the hazard is likely to reach the environment.</w:t>
            </w:r>
          </w:p>
        </w:tc>
        <w:tc>
          <w:tcPr>
            <w:tcW w:w="3888" w:type="dxa"/>
          </w:tcPr>
          <w:p w14:paraId="5D063AE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is the simplified front-end measure of environmental loading pressure.</w:t>
            </w:r>
          </w:p>
        </w:tc>
      </w:tr>
      <w:tr w:rsidR="000727DF" w:rsidRPr="00404D22" w14:paraId="2776C2C5" w14:textId="77777777">
        <w:tc>
          <w:tcPr>
            <w:tcW w:w="2736" w:type="dxa"/>
          </w:tcPr>
          <w:p w14:paraId="0FB0F99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Persistence / transport</w:t>
            </w:r>
          </w:p>
        </w:tc>
        <w:tc>
          <w:tcPr>
            <w:tcW w:w="3600" w:type="dxa"/>
          </w:tcPr>
          <w:p w14:paraId="13647D76"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How </w:t>
            </w:r>
            <w:proofErr w:type="gramStart"/>
            <w:r w:rsidRPr="00404D22">
              <w:rPr>
                <w:rFonts w:ascii="Arial" w:hAnsi="Arial" w:cs="Arial"/>
                <w:sz w:val="20"/>
                <w:szCs w:val="20"/>
              </w:rPr>
              <w:t>well</w:t>
            </w:r>
            <w:proofErr w:type="gramEnd"/>
            <w:r w:rsidRPr="00404D22">
              <w:rPr>
                <w:rFonts w:ascii="Arial" w:hAnsi="Arial" w:cs="Arial"/>
                <w:sz w:val="20"/>
                <w:szCs w:val="20"/>
              </w:rPr>
              <w:t xml:space="preserve"> the hazard survives or moves.</w:t>
            </w:r>
          </w:p>
        </w:tc>
        <w:tc>
          <w:tcPr>
            <w:tcW w:w="3888" w:type="dxa"/>
          </w:tcPr>
          <w:p w14:paraId="112DDCA8"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Persistent hazards remain relevant for longer and travel more effectively.</w:t>
            </w:r>
          </w:p>
        </w:tc>
      </w:tr>
      <w:tr w:rsidR="000727DF" w:rsidRPr="00404D22" w14:paraId="482C34DC" w14:textId="77777777">
        <w:tc>
          <w:tcPr>
            <w:tcW w:w="2736" w:type="dxa"/>
          </w:tcPr>
          <w:p w14:paraId="121AB9B7"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Bathing evidence / confidence</w:t>
            </w:r>
          </w:p>
        </w:tc>
        <w:tc>
          <w:tcPr>
            <w:tcW w:w="3600" w:type="dxa"/>
          </w:tcPr>
          <w:p w14:paraId="26535329"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How strongly the evidence supports the hazard as bathing-water relevant.</w:t>
            </w:r>
          </w:p>
        </w:tc>
        <w:tc>
          <w:tcPr>
            <w:tcW w:w="3888" w:type="dxa"/>
          </w:tcPr>
          <w:p w14:paraId="65AA0FC7"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keeps the simplified ranking tied to the evidence base.</w:t>
            </w:r>
          </w:p>
        </w:tc>
      </w:tr>
      <w:tr w:rsidR="000727DF" w:rsidRPr="00404D22" w14:paraId="74546076" w14:textId="77777777">
        <w:tc>
          <w:tcPr>
            <w:tcW w:w="2736" w:type="dxa"/>
          </w:tcPr>
          <w:p w14:paraId="62F4C784"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National score</w:t>
            </w:r>
          </w:p>
        </w:tc>
        <w:tc>
          <w:tcPr>
            <w:tcW w:w="3600" w:type="dxa"/>
          </w:tcPr>
          <w:p w14:paraId="63970CD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The combined hazard score from the five visible criteria.</w:t>
            </w:r>
          </w:p>
        </w:tc>
        <w:tc>
          <w:tcPr>
            <w:tcW w:w="3888" w:type="dxa"/>
          </w:tcPr>
          <w:p w14:paraId="34D5421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is the starting point for the rank.</w:t>
            </w:r>
          </w:p>
        </w:tc>
      </w:tr>
    </w:tbl>
    <w:p w14:paraId="64058A59" w14:textId="77777777" w:rsidR="000727DF" w:rsidRPr="00404D22" w:rsidRDefault="006633A3" w:rsidP="00404D22">
      <w:pPr>
        <w:pStyle w:val="Heading3"/>
        <w:spacing w:line="240" w:lineRule="auto"/>
        <w:contextualSpacing/>
        <w:rPr>
          <w:rFonts w:ascii="Arial" w:hAnsi="Arial" w:cs="Arial"/>
          <w:sz w:val="20"/>
          <w:szCs w:val="20"/>
        </w:rPr>
      </w:pPr>
      <w:r w:rsidRPr="00404D22">
        <w:rPr>
          <w:rFonts w:ascii="Arial" w:hAnsi="Arial" w:cs="Arial"/>
          <w:sz w:val="20"/>
          <w:szCs w:val="20"/>
        </w:rPr>
        <w:t>Site-fit columns</w:t>
      </w:r>
    </w:p>
    <w:tbl>
      <w:tblPr>
        <w:tblStyle w:val="TableGrid"/>
        <w:tblW w:w="0" w:type="auto"/>
        <w:tblLook w:val="04A0" w:firstRow="1" w:lastRow="0" w:firstColumn="1" w:lastColumn="0" w:noHBand="0" w:noVBand="1"/>
      </w:tblPr>
      <w:tblGrid>
        <w:gridCol w:w="2838"/>
        <w:gridCol w:w="3402"/>
        <w:gridCol w:w="3686"/>
      </w:tblGrid>
      <w:tr w:rsidR="000727DF" w:rsidRPr="00404D22" w14:paraId="7F195A38" w14:textId="77777777">
        <w:tc>
          <w:tcPr>
            <w:tcW w:w="2880" w:type="dxa"/>
            <w:shd w:val="clear" w:color="auto" w:fill="D9EAD3"/>
          </w:tcPr>
          <w:p w14:paraId="43995F5C"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Column</w:t>
            </w:r>
          </w:p>
        </w:tc>
        <w:tc>
          <w:tcPr>
            <w:tcW w:w="3456" w:type="dxa"/>
            <w:shd w:val="clear" w:color="auto" w:fill="D9EAD3"/>
          </w:tcPr>
          <w:p w14:paraId="6DEC1CE4"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Meaning</w:t>
            </w:r>
          </w:p>
        </w:tc>
        <w:tc>
          <w:tcPr>
            <w:tcW w:w="3744" w:type="dxa"/>
            <w:shd w:val="clear" w:color="auto" w:fill="D9EAD3"/>
          </w:tcPr>
          <w:p w14:paraId="161D5A2E" w14:textId="77777777" w:rsidR="000727DF" w:rsidRPr="00404D22" w:rsidRDefault="006633A3" w:rsidP="00404D22">
            <w:pPr>
              <w:contextualSpacing/>
              <w:rPr>
                <w:rFonts w:ascii="Arial" w:hAnsi="Arial" w:cs="Arial"/>
                <w:sz w:val="20"/>
                <w:szCs w:val="20"/>
              </w:rPr>
            </w:pPr>
            <w:r w:rsidRPr="00404D22">
              <w:rPr>
                <w:rFonts w:ascii="Arial" w:hAnsi="Arial" w:cs="Arial"/>
                <w:b/>
                <w:sz w:val="20"/>
                <w:szCs w:val="20"/>
              </w:rPr>
              <w:t>Why it exists</w:t>
            </w:r>
          </w:p>
        </w:tc>
      </w:tr>
      <w:tr w:rsidR="000727DF" w:rsidRPr="00404D22" w14:paraId="794738D9" w14:textId="77777777">
        <w:tc>
          <w:tcPr>
            <w:tcW w:w="2880" w:type="dxa"/>
          </w:tcPr>
          <w:p w14:paraId="0AA70970"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Human sewage fit</w:t>
            </w:r>
          </w:p>
        </w:tc>
        <w:tc>
          <w:tcPr>
            <w:tcW w:w="3456" w:type="dxa"/>
          </w:tcPr>
          <w:p w14:paraId="4521C12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Whether the row is strongly linked to sewage pathways.</w:t>
            </w:r>
          </w:p>
        </w:tc>
        <w:tc>
          <w:tcPr>
            <w:tcW w:w="3744" w:type="dxa"/>
          </w:tcPr>
          <w:p w14:paraId="3AFC39EE" w14:textId="77777777" w:rsidR="000727DF" w:rsidRPr="00404D22" w:rsidRDefault="006633A3" w:rsidP="00404D22">
            <w:pPr>
              <w:contextualSpacing/>
              <w:rPr>
                <w:rFonts w:ascii="Arial" w:hAnsi="Arial" w:cs="Arial"/>
                <w:sz w:val="20"/>
                <w:szCs w:val="20"/>
              </w:rPr>
            </w:pPr>
            <w:proofErr w:type="gramStart"/>
            <w:r w:rsidRPr="00404D22">
              <w:rPr>
                <w:rFonts w:ascii="Arial" w:hAnsi="Arial" w:cs="Arial"/>
                <w:sz w:val="20"/>
                <w:szCs w:val="20"/>
              </w:rPr>
              <w:t>Allows</w:t>
            </w:r>
            <w:proofErr w:type="gramEnd"/>
            <w:r w:rsidRPr="00404D22">
              <w:rPr>
                <w:rFonts w:ascii="Arial" w:hAnsi="Arial" w:cs="Arial"/>
                <w:sz w:val="20"/>
                <w:szCs w:val="20"/>
              </w:rPr>
              <w:t xml:space="preserve"> sewage-dominated sites to behave differently from other sites.</w:t>
            </w:r>
          </w:p>
        </w:tc>
      </w:tr>
      <w:tr w:rsidR="000727DF" w:rsidRPr="00404D22" w14:paraId="2BE30559" w14:textId="77777777">
        <w:tc>
          <w:tcPr>
            <w:tcW w:w="2880" w:type="dxa"/>
          </w:tcPr>
          <w:p w14:paraId="3C5CD16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Agriculture / livestock fit</w:t>
            </w:r>
          </w:p>
        </w:tc>
        <w:tc>
          <w:tcPr>
            <w:tcW w:w="3456" w:type="dxa"/>
          </w:tcPr>
          <w:p w14:paraId="4FDAE7F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Whether the row is strongly linked to agricultural runoff.</w:t>
            </w:r>
          </w:p>
        </w:tc>
        <w:tc>
          <w:tcPr>
            <w:tcW w:w="3744" w:type="dxa"/>
          </w:tcPr>
          <w:p w14:paraId="1C02A0E4"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Allows agriculture-driven sites to behave differently.</w:t>
            </w:r>
          </w:p>
        </w:tc>
      </w:tr>
      <w:tr w:rsidR="000727DF" w:rsidRPr="00404D22" w14:paraId="78C6630F" w14:textId="77777777">
        <w:tc>
          <w:tcPr>
            <w:tcW w:w="2880" w:type="dxa"/>
          </w:tcPr>
          <w:p w14:paraId="3F50FBDA"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Urban runoff / stormwater fit</w:t>
            </w:r>
          </w:p>
        </w:tc>
        <w:tc>
          <w:tcPr>
            <w:tcW w:w="3456" w:type="dxa"/>
          </w:tcPr>
          <w:p w14:paraId="20DAAFD7"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Whether the row fits urban drainage and stormwater pathways.</w:t>
            </w:r>
          </w:p>
        </w:tc>
        <w:tc>
          <w:tcPr>
            <w:tcW w:w="3744" w:type="dxa"/>
          </w:tcPr>
          <w:p w14:paraId="00989630" w14:textId="77777777" w:rsidR="000727DF" w:rsidRPr="00404D22" w:rsidRDefault="006633A3" w:rsidP="00404D22">
            <w:pPr>
              <w:contextualSpacing/>
              <w:rPr>
                <w:rFonts w:ascii="Arial" w:hAnsi="Arial" w:cs="Arial"/>
                <w:sz w:val="20"/>
                <w:szCs w:val="20"/>
              </w:rPr>
            </w:pPr>
            <w:proofErr w:type="gramStart"/>
            <w:r w:rsidRPr="00404D22">
              <w:rPr>
                <w:rFonts w:ascii="Arial" w:hAnsi="Arial" w:cs="Arial"/>
                <w:sz w:val="20"/>
                <w:szCs w:val="20"/>
              </w:rPr>
              <w:t>Allows</w:t>
            </w:r>
            <w:proofErr w:type="gramEnd"/>
            <w:r w:rsidRPr="00404D22">
              <w:rPr>
                <w:rFonts w:ascii="Arial" w:hAnsi="Arial" w:cs="Arial"/>
                <w:sz w:val="20"/>
                <w:szCs w:val="20"/>
              </w:rPr>
              <w:t xml:space="preserve"> urban-runoff problems to become visible.</w:t>
            </w:r>
          </w:p>
        </w:tc>
      </w:tr>
      <w:tr w:rsidR="000727DF" w:rsidRPr="00404D22" w14:paraId="31F77782" w14:textId="77777777">
        <w:tc>
          <w:tcPr>
            <w:tcW w:w="2880" w:type="dxa"/>
          </w:tcPr>
          <w:p w14:paraId="6DD33C6B"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Riverine / event fit</w:t>
            </w:r>
          </w:p>
        </w:tc>
        <w:tc>
          <w:tcPr>
            <w:tcW w:w="3456" w:type="dxa"/>
          </w:tcPr>
          <w:p w14:paraId="5BC1D7EB"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Whether the row matters more in rivers or weather-driven events.</w:t>
            </w:r>
          </w:p>
        </w:tc>
        <w:tc>
          <w:tcPr>
            <w:tcW w:w="3744" w:type="dxa"/>
          </w:tcPr>
          <w:p w14:paraId="368546BC"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Keeps inland/event sensitivity visible in one simple column.</w:t>
            </w:r>
          </w:p>
        </w:tc>
      </w:tr>
      <w:tr w:rsidR="000727DF" w:rsidRPr="00404D22" w14:paraId="033FCFB2" w14:textId="77777777">
        <w:tc>
          <w:tcPr>
            <w:tcW w:w="2880" w:type="dxa"/>
          </w:tcPr>
          <w:p w14:paraId="7DB08E90"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lastRenderedPageBreak/>
              <w:t>Warm / climate / aerosol / bloom fit</w:t>
            </w:r>
          </w:p>
        </w:tc>
        <w:tc>
          <w:tcPr>
            <w:tcW w:w="3456" w:type="dxa"/>
          </w:tcPr>
          <w:p w14:paraId="795A306E"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 xml:space="preserve">Whether the row matters more under warm, stagnant, brackish, </w:t>
            </w:r>
            <w:proofErr w:type="spellStart"/>
            <w:r w:rsidRPr="00404D22">
              <w:rPr>
                <w:rFonts w:ascii="Arial" w:hAnsi="Arial" w:cs="Arial"/>
                <w:sz w:val="20"/>
                <w:szCs w:val="20"/>
              </w:rPr>
              <w:t>aerosolised</w:t>
            </w:r>
            <w:proofErr w:type="spellEnd"/>
            <w:r w:rsidRPr="00404D22">
              <w:rPr>
                <w:rFonts w:ascii="Arial" w:hAnsi="Arial" w:cs="Arial"/>
                <w:sz w:val="20"/>
                <w:szCs w:val="20"/>
              </w:rPr>
              <w:t>, or bloom-prone conditions.</w:t>
            </w:r>
          </w:p>
        </w:tc>
        <w:tc>
          <w:tcPr>
            <w:tcW w:w="3744" w:type="dxa"/>
          </w:tcPr>
          <w:p w14:paraId="1400F190"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Allows condition-sensitive hazards to move when the site conditions change.</w:t>
            </w:r>
          </w:p>
        </w:tc>
      </w:tr>
      <w:tr w:rsidR="000727DF" w:rsidRPr="00404D22" w14:paraId="250790E5" w14:textId="77777777">
        <w:tc>
          <w:tcPr>
            <w:tcW w:w="2880" w:type="dxa"/>
          </w:tcPr>
          <w:p w14:paraId="420FA3D9"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Sentinel-load relevance</w:t>
            </w:r>
          </w:p>
        </w:tc>
        <w:tc>
          <w:tcPr>
            <w:tcW w:w="3456" w:type="dxa"/>
          </w:tcPr>
          <w:p w14:paraId="6D0DA0E9"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Whether the row becomes more relevant when measured E. coli / enterococci burden is already high.</w:t>
            </w:r>
          </w:p>
        </w:tc>
        <w:tc>
          <w:tcPr>
            <w:tcW w:w="3744" w:type="dxa"/>
          </w:tcPr>
          <w:p w14:paraId="3EE2FCC3" w14:textId="7412AE67" w:rsidR="000727DF" w:rsidRPr="00404D22" w:rsidRDefault="006633A3" w:rsidP="00404D22">
            <w:pPr>
              <w:contextualSpacing/>
              <w:rPr>
                <w:rFonts w:ascii="Arial" w:hAnsi="Arial" w:cs="Arial"/>
                <w:sz w:val="20"/>
                <w:szCs w:val="20"/>
              </w:rPr>
            </w:pPr>
            <w:r w:rsidRPr="00404D22">
              <w:rPr>
                <w:rFonts w:ascii="Arial" w:hAnsi="Arial" w:cs="Arial"/>
                <w:sz w:val="20"/>
                <w:szCs w:val="20"/>
              </w:rPr>
              <w:t>Links the model to the practical reality of high bacterial-load warning signals</w:t>
            </w:r>
            <w:r w:rsidR="007605EF">
              <w:rPr>
                <w:rFonts w:ascii="Arial" w:hAnsi="Arial" w:cs="Arial"/>
                <w:sz w:val="20"/>
                <w:szCs w:val="20"/>
              </w:rPr>
              <w:t xml:space="preserve">—where it is already known that the </w:t>
            </w:r>
            <w:r w:rsidR="000F09CF">
              <w:rPr>
                <w:rFonts w:ascii="Arial" w:hAnsi="Arial" w:cs="Arial"/>
                <w:sz w:val="20"/>
                <w:szCs w:val="20"/>
              </w:rPr>
              <w:t>location of interest is high in microbial sentinels (coliforms &amp; Intestinal enterococci)</w:t>
            </w:r>
          </w:p>
        </w:tc>
      </w:tr>
      <w:tr w:rsidR="000727DF" w:rsidRPr="00404D22" w14:paraId="258A10DC" w14:textId="77777777">
        <w:tc>
          <w:tcPr>
            <w:tcW w:w="2880" w:type="dxa"/>
          </w:tcPr>
          <w:p w14:paraId="2E4E62AE"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Site relevance score</w:t>
            </w:r>
          </w:p>
        </w:tc>
        <w:tc>
          <w:tcPr>
            <w:tcW w:w="3456" w:type="dxa"/>
          </w:tcPr>
          <w:p w14:paraId="102C7D9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The combined score from the six site-fit columns and the Dashboard inputs.</w:t>
            </w:r>
          </w:p>
        </w:tc>
        <w:tc>
          <w:tcPr>
            <w:tcW w:w="3744" w:type="dxa"/>
          </w:tcPr>
          <w:p w14:paraId="15DB9FB1"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Shows how well the row fits the current site assumptions.</w:t>
            </w:r>
          </w:p>
        </w:tc>
      </w:tr>
      <w:tr w:rsidR="000727DF" w:rsidRPr="00404D22" w14:paraId="5F71350D" w14:textId="77777777">
        <w:tc>
          <w:tcPr>
            <w:tcW w:w="2880" w:type="dxa"/>
          </w:tcPr>
          <w:p w14:paraId="3CB58D4E"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Final score</w:t>
            </w:r>
          </w:p>
        </w:tc>
        <w:tc>
          <w:tcPr>
            <w:tcW w:w="3456" w:type="dxa"/>
          </w:tcPr>
          <w:p w14:paraId="1BFACAD2"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The score used for ranking after national hazard strength and site relevance have been blended.</w:t>
            </w:r>
          </w:p>
        </w:tc>
        <w:tc>
          <w:tcPr>
            <w:tcW w:w="3744" w:type="dxa"/>
          </w:tcPr>
          <w:p w14:paraId="7F4399D3"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This is the number to watch when the yellow inputs change.</w:t>
            </w:r>
          </w:p>
        </w:tc>
      </w:tr>
      <w:tr w:rsidR="000727DF" w:rsidRPr="00404D22" w14:paraId="75D68798" w14:textId="77777777">
        <w:tc>
          <w:tcPr>
            <w:tcW w:w="2880" w:type="dxa"/>
          </w:tcPr>
          <w:p w14:paraId="150D283D"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Priority band</w:t>
            </w:r>
          </w:p>
        </w:tc>
        <w:tc>
          <w:tcPr>
            <w:tcW w:w="3456" w:type="dxa"/>
          </w:tcPr>
          <w:p w14:paraId="34CD70F2" w14:textId="77777777" w:rsidR="000727DF" w:rsidRPr="00404D22" w:rsidRDefault="006633A3" w:rsidP="00404D22">
            <w:pPr>
              <w:contextualSpacing/>
              <w:rPr>
                <w:rFonts w:ascii="Arial" w:hAnsi="Arial" w:cs="Arial"/>
                <w:sz w:val="20"/>
                <w:szCs w:val="20"/>
              </w:rPr>
            </w:pPr>
            <w:r w:rsidRPr="00404D22">
              <w:rPr>
                <w:rFonts w:ascii="Arial" w:hAnsi="Arial" w:cs="Arial"/>
                <w:sz w:val="20"/>
                <w:szCs w:val="20"/>
              </w:rPr>
              <w:t>Plain-language label for the final score.</w:t>
            </w:r>
          </w:p>
        </w:tc>
        <w:tc>
          <w:tcPr>
            <w:tcW w:w="3744" w:type="dxa"/>
          </w:tcPr>
          <w:p w14:paraId="4872C403" w14:textId="77777777" w:rsidR="000727DF" w:rsidRPr="00404D22" w:rsidRDefault="006633A3" w:rsidP="00404D22">
            <w:pPr>
              <w:contextualSpacing/>
              <w:rPr>
                <w:rFonts w:ascii="Arial" w:hAnsi="Arial" w:cs="Arial"/>
                <w:sz w:val="20"/>
                <w:szCs w:val="20"/>
              </w:rPr>
            </w:pPr>
            <w:proofErr w:type="gramStart"/>
            <w:r w:rsidRPr="00404D22">
              <w:rPr>
                <w:rFonts w:ascii="Arial" w:hAnsi="Arial" w:cs="Arial"/>
                <w:sz w:val="20"/>
                <w:szCs w:val="20"/>
              </w:rPr>
              <w:t>Makes</w:t>
            </w:r>
            <w:proofErr w:type="gramEnd"/>
            <w:r w:rsidRPr="00404D22">
              <w:rPr>
                <w:rFonts w:ascii="Arial" w:hAnsi="Arial" w:cs="Arial"/>
                <w:sz w:val="20"/>
                <w:szCs w:val="20"/>
              </w:rPr>
              <w:t xml:space="preserve"> the table readable without focusing only on raw numbers.</w:t>
            </w:r>
          </w:p>
        </w:tc>
      </w:tr>
    </w:tbl>
    <w:p w14:paraId="05B355FE" w14:textId="77777777" w:rsidR="00B21CF5" w:rsidRDefault="00B21CF5" w:rsidP="00404D22">
      <w:pPr>
        <w:spacing w:line="240" w:lineRule="auto"/>
        <w:contextualSpacing/>
        <w:rPr>
          <w:rFonts w:ascii="Arial" w:hAnsi="Arial" w:cs="Arial"/>
          <w:sz w:val="20"/>
          <w:szCs w:val="20"/>
        </w:rPr>
      </w:pPr>
    </w:p>
    <w:p w14:paraId="2C2B93FE" w14:textId="01AF504E" w:rsidR="000727DF" w:rsidRPr="006C3A72" w:rsidRDefault="006633A3" w:rsidP="00B6363E">
      <w:pPr>
        <w:pStyle w:val="Heading1"/>
      </w:pPr>
      <w:r w:rsidRPr="006C3A72">
        <w:t>Evidence Basis</w:t>
      </w:r>
      <w:r w:rsidR="004D6EF9">
        <w:t xml:space="preserve"> Sheet</w:t>
      </w:r>
    </w:p>
    <w:p w14:paraId="1ED94E6B" w14:textId="179C01D2"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This sheet</w:t>
      </w:r>
      <w:r w:rsidR="006C3A72">
        <w:rPr>
          <w:rFonts w:ascii="Arial" w:hAnsi="Arial" w:cs="Arial"/>
          <w:sz w:val="20"/>
          <w:szCs w:val="20"/>
        </w:rPr>
        <w:t xml:space="preserve"> </w:t>
      </w:r>
      <w:r w:rsidRPr="00404D22">
        <w:rPr>
          <w:rFonts w:ascii="Arial" w:hAnsi="Arial" w:cs="Arial"/>
          <w:sz w:val="20"/>
          <w:szCs w:val="20"/>
        </w:rPr>
        <w:t>answers the question 'what does this term mean and why is it here?' If a user is unsure why a column exists or how it was simplified from the fuller model, this is the first place to look.</w:t>
      </w:r>
    </w:p>
    <w:p w14:paraId="5471F04B" w14:textId="2EC96276" w:rsidR="000727DF" w:rsidRPr="00404D22" w:rsidRDefault="006633A3" w:rsidP="006F14DB">
      <w:pPr>
        <w:pStyle w:val="Heading1"/>
      </w:pPr>
      <w:r w:rsidRPr="00404D22">
        <w:t>How to interpret the results</w:t>
      </w:r>
    </w:p>
    <w:p w14:paraId="091B3E18" w14:textId="3E11443F" w:rsidR="000727DF" w:rsidRPr="00404D22" w:rsidRDefault="006633A3" w:rsidP="00404D22">
      <w:pPr>
        <w:spacing w:line="240" w:lineRule="auto"/>
        <w:contextualSpacing/>
        <w:rPr>
          <w:rFonts w:ascii="Arial" w:hAnsi="Arial" w:cs="Arial"/>
          <w:sz w:val="20"/>
          <w:szCs w:val="20"/>
        </w:rPr>
      </w:pPr>
      <w:r w:rsidRPr="00404D22">
        <w:rPr>
          <w:rFonts w:ascii="Arial" w:hAnsi="Arial" w:cs="Arial"/>
          <w:sz w:val="20"/>
          <w:szCs w:val="20"/>
        </w:rPr>
        <w:t>A high rank means that, under the current assumptions, the model thinks that the row deserves more attention than the rows below it. If a hazard rises mainly when sewage influence is high, that suggests a wastewater-driven interpretation. If a hazard rises mainly when agriculture or river/event variability is high, that suggests a catchment/runoff interpretation.</w:t>
      </w:r>
      <w:r w:rsidR="000B522A">
        <w:rPr>
          <w:rFonts w:ascii="Arial" w:hAnsi="Arial" w:cs="Arial"/>
          <w:sz w:val="20"/>
          <w:szCs w:val="20"/>
        </w:rPr>
        <w:t xml:space="preserve"> </w:t>
      </w:r>
      <w:r w:rsidRPr="00404D22">
        <w:rPr>
          <w:rFonts w:ascii="Arial" w:hAnsi="Arial" w:cs="Arial"/>
          <w:sz w:val="20"/>
          <w:szCs w:val="20"/>
        </w:rPr>
        <w:t>High measured E. coli or intestinal enterococci should be treated as a health-relevant concern regardless of source. Warm / bloom-prone setting</w:t>
      </w:r>
      <w:r w:rsidR="000C696F">
        <w:rPr>
          <w:rFonts w:ascii="Arial" w:hAnsi="Arial" w:cs="Arial"/>
          <w:sz w:val="20"/>
          <w:szCs w:val="20"/>
        </w:rPr>
        <w:t xml:space="preserve"> </w:t>
      </w:r>
      <w:r w:rsidRPr="00404D22">
        <w:rPr>
          <w:rFonts w:ascii="Arial" w:hAnsi="Arial" w:cs="Arial"/>
          <w:sz w:val="20"/>
          <w:szCs w:val="20"/>
        </w:rPr>
        <w:t>does not merely shift the order of the enteric pathogen</w:t>
      </w:r>
      <w:r w:rsidR="000C696F">
        <w:rPr>
          <w:rFonts w:ascii="Arial" w:hAnsi="Arial" w:cs="Arial"/>
          <w:sz w:val="20"/>
          <w:szCs w:val="20"/>
        </w:rPr>
        <w:t xml:space="preserve">, but it </w:t>
      </w:r>
      <w:r w:rsidRPr="00404D22">
        <w:rPr>
          <w:rFonts w:ascii="Arial" w:hAnsi="Arial" w:cs="Arial"/>
          <w:sz w:val="20"/>
          <w:szCs w:val="20"/>
        </w:rPr>
        <w:t xml:space="preserve">can activate </w:t>
      </w:r>
      <w:r w:rsidR="000C696F">
        <w:rPr>
          <w:rFonts w:ascii="Arial" w:hAnsi="Arial" w:cs="Arial"/>
          <w:sz w:val="20"/>
          <w:szCs w:val="20"/>
        </w:rPr>
        <w:t>a</w:t>
      </w:r>
      <w:r w:rsidRPr="00404D22">
        <w:rPr>
          <w:rFonts w:ascii="Arial" w:hAnsi="Arial" w:cs="Arial"/>
          <w:sz w:val="20"/>
          <w:szCs w:val="20"/>
        </w:rPr>
        <w:t xml:space="preserve"> separate cyanobacteria module</w:t>
      </w:r>
      <w:r w:rsidR="000C696F">
        <w:rPr>
          <w:rFonts w:ascii="Arial" w:hAnsi="Arial" w:cs="Arial"/>
          <w:sz w:val="20"/>
          <w:szCs w:val="20"/>
        </w:rPr>
        <w:t xml:space="preserve"> (not included here),</w:t>
      </w:r>
      <w:r w:rsidRPr="00404D22">
        <w:rPr>
          <w:rFonts w:ascii="Arial" w:hAnsi="Arial" w:cs="Arial"/>
          <w:sz w:val="20"/>
          <w:szCs w:val="20"/>
        </w:rPr>
        <w:t xml:space="preserve"> and raise the importance of hazards such as Vibrio, Legionella, or Naegleria.</w:t>
      </w:r>
    </w:p>
    <w:p w14:paraId="0AC7987D" w14:textId="77777777" w:rsidR="00C20D95" w:rsidRDefault="00C20D95" w:rsidP="00404D22">
      <w:pPr>
        <w:spacing w:line="240" w:lineRule="auto"/>
        <w:contextualSpacing/>
        <w:rPr>
          <w:rFonts w:ascii="Arial" w:hAnsi="Arial" w:cs="Arial"/>
          <w:sz w:val="20"/>
          <w:szCs w:val="20"/>
        </w:rPr>
      </w:pPr>
    </w:p>
    <w:p w14:paraId="7B241E07" w14:textId="7DEF4286" w:rsidR="000727DF" w:rsidRDefault="006633A3" w:rsidP="00404D22">
      <w:pPr>
        <w:spacing w:line="240" w:lineRule="auto"/>
        <w:contextualSpacing/>
        <w:rPr>
          <w:rFonts w:ascii="Arial" w:hAnsi="Arial" w:cs="Arial"/>
          <w:sz w:val="20"/>
          <w:szCs w:val="20"/>
        </w:rPr>
      </w:pPr>
      <w:r w:rsidRPr="00404D22">
        <w:rPr>
          <w:rFonts w:ascii="Arial" w:hAnsi="Arial" w:cs="Arial"/>
          <w:sz w:val="20"/>
          <w:szCs w:val="20"/>
        </w:rPr>
        <w:t xml:space="preserve">The workbook should therefore be treated as a first-pass </w:t>
      </w:r>
      <w:proofErr w:type="spellStart"/>
      <w:r w:rsidRPr="00404D22">
        <w:rPr>
          <w:rFonts w:ascii="Arial" w:hAnsi="Arial" w:cs="Arial"/>
          <w:sz w:val="20"/>
          <w:szCs w:val="20"/>
        </w:rPr>
        <w:t>prioritisation</w:t>
      </w:r>
      <w:proofErr w:type="spellEnd"/>
      <w:r w:rsidRPr="00404D22">
        <w:rPr>
          <w:rFonts w:ascii="Arial" w:hAnsi="Arial" w:cs="Arial"/>
          <w:sz w:val="20"/>
          <w:szCs w:val="20"/>
        </w:rPr>
        <w:t xml:space="preserve"> and communication tool. It is </w:t>
      </w:r>
      <w:r w:rsidR="003938B9">
        <w:rPr>
          <w:rFonts w:ascii="Arial" w:hAnsi="Arial" w:cs="Arial"/>
          <w:sz w:val="20"/>
          <w:szCs w:val="20"/>
        </w:rPr>
        <w:t>well-suited</w:t>
      </w:r>
      <w:r w:rsidRPr="00404D22">
        <w:rPr>
          <w:rFonts w:ascii="Arial" w:hAnsi="Arial" w:cs="Arial"/>
          <w:sz w:val="20"/>
          <w:szCs w:val="20"/>
        </w:rPr>
        <w:t xml:space="preserve"> to introductory discussions, option screening, early policy framing, and explaining why hazards move under different site assumptions.</w:t>
      </w:r>
      <w:r w:rsidR="003938B9">
        <w:rPr>
          <w:rFonts w:ascii="Arial" w:hAnsi="Arial" w:cs="Arial"/>
          <w:sz w:val="20"/>
          <w:szCs w:val="20"/>
        </w:rPr>
        <w:t xml:space="preserve"> </w:t>
      </w:r>
      <w:r w:rsidRPr="00404D22">
        <w:rPr>
          <w:rFonts w:ascii="Arial" w:hAnsi="Arial" w:cs="Arial"/>
          <w:sz w:val="20"/>
          <w:szCs w:val="20"/>
        </w:rPr>
        <w:t xml:space="preserve">The ranking is only as good as the assumptions entered. A user should therefore change the yellow </w:t>
      </w:r>
      <w:proofErr w:type="spellStart"/>
      <w:r w:rsidRPr="00404D22">
        <w:rPr>
          <w:rFonts w:ascii="Arial" w:hAnsi="Arial" w:cs="Arial"/>
          <w:sz w:val="20"/>
          <w:szCs w:val="20"/>
        </w:rPr>
        <w:t>inputsand</w:t>
      </w:r>
      <w:proofErr w:type="spellEnd"/>
      <w:r w:rsidRPr="00404D22">
        <w:rPr>
          <w:rFonts w:ascii="Arial" w:hAnsi="Arial" w:cs="Arial"/>
          <w:sz w:val="20"/>
          <w:szCs w:val="20"/>
        </w:rPr>
        <w:t xml:space="preserve"> interpret large changes in the ranking as signals that the site assumptions matter, not as proof that the exact order is fixed in the real world.</w:t>
      </w:r>
    </w:p>
    <w:p w14:paraId="7873BC91" w14:textId="77777777" w:rsidR="004D6EF9" w:rsidRPr="00404D22" w:rsidRDefault="004D6EF9" w:rsidP="00404D22">
      <w:pPr>
        <w:spacing w:line="240" w:lineRule="auto"/>
        <w:contextualSpacing/>
        <w:rPr>
          <w:rFonts w:ascii="Arial" w:hAnsi="Arial" w:cs="Arial"/>
          <w:sz w:val="20"/>
          <w:szCs w:val="20"/>
        </w:rPr>
      </w:pPr>
    </w:p>
    <w:sectPr w:rsidR="004D6EF9" w:rsidRPr="00404D2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7B2263"/>
    <w:multiLevelType w:val="hybridMultilevel"/>
    <w:tmpl w:val="EDDE0CD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D405BB"/>
    <w:multiLevelType w:val="hybridMultilevel"/>
    <w:tmpl w:val="F3CA27A6"/>
    <w:lvl w:ilvl="0" w:tplc="08090011">
      <w:start w:val="1"/>
      <w:numFmt w:val="decimal"/>
      <w:lvlText w:val="%1)"/>
      <w:lvlJc w:val="left"/>
      <w:pPr>
        <w:ind w:left="762" w:hanging="360"/>
      </w:pPr>
    </w:lvl>
    <w:lvl w:ilvl="1" w:tplc="08090019" w:tentative="1">
      <w:start w:val="1"/>
      <w:numFmt w:val="lowerLetter"/>
      <w:lvlText w:val="%2."/>
      <w:lvlJc w:val="left"/>
      <w:pPr>
        <w:ind w:left="1482" w:hanging="360"/>
      </w:pPr>
    </w:lvl>
    <w:lvl w:ilvl="2" w:tplc="0809001B" w:tentative="1">
      <w:start w:val="1"/>
      <w:numFmt w:val="lowerRoman"/>
      <w:lvlText w:val="%3."/>
      <w:lvlJc w:val="right"/>
      <w:pPr>
        <w:ind w:left="2202" w:hanging="180"/>
      </w:pPr>
    </w:lvl>
    <w:lvl w:ilvl="3" w:tplc="0809000F" w:tentative="1">
      <w:start w:val="1"/>
      <w:numFmt w:val="decimal"/>
      <w:lvlText w:val="%4."/>
      <w:lvlJc w:val="left"/>
      <w:pPr>
        <w:ind w:left="2922" w:hanging="360"/>
      </w:pPr>
    </w:lvl>
    <w:lvl w:ilvl="4" w:tplc="08090019" w:tentative="1">
      <w:start w:val="1"/>
      <w:numFmt w:val="lowerLetter"/>
      <w:lvlText w:val="%5."/>
      <w:lvlJc w:val="left"/>
      <w:pPr>
        <w:ind w:left="3642" w:hanging="360"/>
      </w:pPr>
    </w:lvl>
    <w:lvl w:ilvl="5" w:tplc="0809001B" w:tentative="1">
      <w:start w:val="1"/>
      <w:numFmt w:val="lowerRoman"/>
      <w:lvlText w:val="%6."/>
      <w:lvlJc w:val="right"/>
      <w:pPr>
        <w:ind w:left="4362" w:hanging="180"/>
      </w:pPr>
    </w:lvl>
    <w:lvl w:ilvl="6" w:tplc="0809000F" w:tentative="1">
      <w:start w:val="1"/>
      <w:numFmt w:val="decimal"/>
      <w:lvlText w:val="%7."/>
      <w:lvlJc w:val="left"/>
      <w:pPr>
        <w:ind w:left="5082" w:hanging="360"/>
      </w:pPr>
    </w:lvl>
    <w:lvl w:ilvl="7" w:tplc="08090019" w:tentative="1">
      <w:start w:val="1"/>
      <w:numFmt w:val="lowerLetter"/>
      <w:lvlText w:val="%8."/>
      <w:lvlJc w:val="left"/>
      <w:pPr>
        <w:ind w:left="5802" w:hanging="360"/>
      </w:pPr>
    </w:lvl>
    <w:lvl w:ilvl="8" w:tplc="0809001B" w:tentative="1">
      <w:start w:val="1"/>
      <w:numFmt w:val="lowerRoman"/>
      <w:lvlText w:val="%9."/>
      <w:lvlJc w:val="right"/>
      <w:pPr>
        <w:ind w:left="6522" w:hanging="180"/>
      </w:pPr>
    </w:lvl>
  </w:abstractNum>
  <w:abstractNum w:abstractNumId="11" w15:restartNumberingAfterBreak="0">
    <w:nsid w:val="3924469F"/>
    <w:multiLevelType w:val="hybridMultilevel"/>
    <w:tmpl w:val="04AED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ED312F"/>
    <w:multiLevelType w:val="hybridMultilevel"/>
    <w:tmpl w:val="B546F1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0727021">
    <w:abstractNumId w:val="8"/>
  </w:num>
  <w:num w:numId="2" w16cid:durableId="1806925730">
    <w:abstractNumId w:val="6"/>
  </w:num>
  <w:num w:numId="3" w16cid:durableId="1785223325">
    <w:abstractNumId w:val="5"/>
  </w:num>
  <w:num w:numId="4" w16cid:durableId="194851335">
    <w:abstractNumId w:val="4"/>
  </w:num>
  <w:num w:numId="5" w16cid:durableId="1628703113">
    <w:abstractNumId w:val="7"/>
  </w:num>
  <w:num w:numId="6" w16cid:durableId="1025328336">
    <w:abstractNumId w:val="3"/>
  </w:num>
  <w:num w:numId="7" w16cid:durableId="1901598591">
    <w:abstractNumId w:val="2"/>
  </w:num>
  <w:num w:numId="8" w16cid:durableId="144470023">
    <w:abstractNumId w:val="1"/>
  </w:num>
  <w:num w:numId="9" w16cid:durableId="1890191683">
    <w:abstractNumId w:val="0"/>
  </w:num>
  <w:num w:numId="10" w16cid:durableId="736561564">
    <w:abstractNumId w:val="12"/>
  </w:num>
  <w:num w:numId="11" w16cid:durableId="1211458531">
    <w:abstractNumId w:val="11"/>
  </w:num>
  <w:num w:numId="12" w16cid:durableId="1861699162">
    <w:abstractNumId w:val="9"/>
  </w:num>
  <w:num w:numId="13" w16cid:durableId="1840584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23"/>
    <w:rsid w:val="00034616"/>
    <w:rsid w:val="0006063C"/>
    <w:rsid w:val="00067321"/>
    <w:rsid w:val="000727DF"/>
    <w:rsid w:val="000B522A"/>
    <w:rsid w:val="000C696F"/>
    <w:rsid w:val="000E70A7"/>
    <w:rsid w:val="000F09CF"/>
    <w:rsid w:val="00116F75"/>
    <w:rsid w:val="0015074B"/>
    <w:rsid w:val="00291F7D"/>
    <w:rsid w:val="0029639D"/>
    <w:rsid w:val="002A2C1A"/>
    <w:rsid w:val="00326F90"/>
    <w:rsid w:val="00347F80"/>
    <w:rsid w:val="003938B9"/>
    <w:rsid w:val="003E0084"/>
    <w:rsid w:val="00404D22"/>
    <w:rsid w:val="0042343E"/>
    <w:rsid w:val="00476E58"/>
    <w:rsid w:val="00484D8C"/>
    <w:rsid w:val="004C236C"/>
    <w:rsid w:val="004D6EF9"/>
    <w:rsid w:val="00506771"/>
    <w:rsid w:val="00513D64"/>
    <w:rsid w:val="00524178"/>
    <w:rsid w:val="00576B35"/>
    <w:rsid w:val="00576E9E"/>
    <w:rsid w:val="00584912"/>
    <w:rsid w:val="005A425F"/>
    <w:rsid w:val="005E6281"/>
    <w:rsid w:val="005E6C09"/>
    <w:rsid w:val="005F3D6A"/>
    <w:rsid w:val="00645345"/>
    <w:rsid w:val="006633A3"/>
    <w:rsid w:val="00665952"/>
    <w:rsid w:val="0068727E"/>
    <w:rsid w:val="006A69E7"/>
    <w:rsid w:val="006B23F3"/>
    <w:rsid w:val="006C3A72"/>
    <w:rsid w:val="006C40F1"/>
    <w:rsid w:val="006D62EB"/>
    <w:rsid w:val="006E4084"/>
    <w:rsid w:val="006F14DB"/>
    <w:rsid w:val="00737676"/>
    <w:rsid w:val="00743057"/>
    <w:rsid w:val="007605EF"/>
    <w:rsid w:val="00794802"/>
    <w:rsid w:val="007D5888"/>
    <w:rsid w:val="008208FB"/>
    <w:rsid w:val="009258FF"/>
    <w:rsid w:val="009C6731"/>
    <w:rsid w:val="00A00F05"/>
    <w:rsid w:val="00A273B1"/>
    <w:rsid w:val="00A8603D"/>
    <w:rsid w:val="00AA1D8D"/>
    <w:rsid w:val="00AC1548"/>
    <w:rsid w:val="00AD784D"/>
    <w:rsid w:val="00AF6E88"/>
    <w:rsid w:val="00B21CF5"/>
    <w:rsid w:val="00B24DA6"/>
    <w:rsid w:val="00B3121B"/>
    <w:rsid w:val="00B47730"/>
    <w:rsid w:val="00B6363E"/>
    <w:rsid w:val="00BE1D75"/>
    <w:rsid w:val="00BF6F35"/>
    <w:rsid w:val="00C20D95"/>
    <w:rsid w:val="00CB0664"/>
    <w:rsid w:val="00CB1904"/>
    <w:rsid w:val="00CB6E8F"/>
    <w:rsid w:val="00D0712E"/>
    <w:rsid w:val="00D64849"/>
    <w:rsid w:val="00D667E0"/>
    <w:rsid w:val="00EA4107"/>
    <w:rsid w:val="00ED65E0"/>
    <w:rsid w:val="00EF2C8D"/>
    <w:rsid w:val="00FA58F3"/>
    <w:rsid w:val="00FB4B78"/>
    <w:rsid w:val="00FC693F"/>
    <w:rsid w:val="00FD068A"/>
    <w:rsid w:val="00FE6C5F"/>
    <w:rsid w:val="00FF3B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84615"/>
  <w14:defaultImageDpi w14:val="300"/>
  <w15:docId w15:val="{AD12465C-25F4-43BC-80F0-77C4A1B40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0165F0CB8236D44891BE0F780D121BC" ma:contentTypeVersion="3" ma:contentTypeDescription="Create a new document." ma:contentTypeScope="" ma:versionID="45ddf04c5d7cd9114da16102d7cb2ca8">
  <xsd:schema xmlns:xsd="http://www.w3.org/2001/XMLSchema" xmlns:xs="http://www.w3.org/2001/XMLSchema" xmlns:p="http://schemas.microsoft.com/office/2006/metadata/properties" xmlns:ns2="e4a52b48-1cee-4413-bc56-0127b0a42ba3" targetNamespace="http://schemas.microsoft.com/office/2006/metadata/properties" ma:root="true" ma:fieldsID="6bc63c3fe54722f24b1c80ad54bfa8ca" ns2:_="">
    <xsd:import namespace="e4a52b48-1cee-4413-bc56-0127b0a42ba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52b48-1cee-4413-bc56-0127b0a42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82DC76-47F5-433F-B7F0-0F84220C1230}"/>
</file>

<file path=customXml/itemProps3.xml><?xml version="1.0" encoding="utf-8"?>
<ds:datastoreItem xmlns:ds="http://schemas.openxmlformats.org/officeDocument/2006/customXml" ds:itemID="{97AC09F0-2D0C-4151-903A-0EA13ADBE03B}"/>
</file>

<file path=customXml/itemProps4.xml><?xml version="1.0" encoding="utf-8"?>
<ds:datastoreItem xmlns:ds="http://schemas.openxmlformats.org/officeDocument/2006/customXml" ds:itemID="{C069548F-5DDB-4885-956C-B0B9977DEFA4}"/>
</file>

<file path=docProps/app.xml><?xml version="1.0" encoding="utf-8"?>
<Properties xmlns="http://schemas.openxmlformats.org/officeDocument/2006/extended-properties" xmlns:vt="http://schemas.openxmlformats.org/officeDocument/2006/docPropsVTypes">
  <Template>Normal</Template>
  <TotalTime>68</TotalTime>
  <Pages>4</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Singer</cp:lastModifiedBy>
  <cp:revision>72</cp:revision>
  <dcterms:created xsi:type="dcterms:W3CDTF">2026-05-15T12:12:00Z</dcterms:created>
  <dcterms:modified xsi:type="dcterms:W3CDTF">2026-05-21T08:55:00Z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0e1af11a-a952-4b50-8d40-dca730cc1cbb</vt:lpwstr>
  </property>
  <property fmtid="{D5CDD505-2E9C-101B-9397-08002B2CF9AE}" pid="3" name="ContentTypeId">
    <vt:lpwstr>0x01010000165F0CB8236D44891BE0F780D121BC</vt:lpwstr>
  </property>
  <property fmtid="{D5CDD505-2E9C-101B-9397-08002B2CF9AE}" pid="4" name="Order">
    <vt:r8>378900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