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00"/>
        <w:jc w:val="center"/>
      </w:pPr>
      <w:r>
        <w:rPr>
          <w:b/>
          <w:bCs/>
          <w:color w:val="2E4A1E"/>
          <w:sz w:val="96"/>
          <w:szCs w:val="96"/>
        </w:rPr>
        <w:t xml:space="preserve">UKCP</w:t>
      </w:r>
    </w:p>
    <w:p>
      <w:pPr>
        <w:spacing w:after="200"/>
        <w:jc w:val="center"/>
      </w:pPr>
      <w:r>
        <w:rPr>
          <w:color w:val="4A7C29"/>
          <w:sz w:val="44"/>
          <w:szCs w:val="44"/>
        </w:rPr>
        <w:t xml:space="preserve">UK Citizens Portal</w:t>
      </w:r>
    </w:p>
    <w:p>
      <w:pPr>
        <w:pBdr>
          <w:bottom w:val="single" w:color="4A7C29" w:sz="8" w:space="4"/>
        </w:pBdr>
        <w:spacing w:after="600"/>
        <w:jc w:val="center"/>
      </w:pPr>
      <w:r>
        <w:rPr>
          <w:i/>
          <w:iCs/>
          <w:color w:val="444444"/>
          <w:sz w:val="32"/>
          <w:szCs w:val="32"/>
        </w:rPr>
        <w:t xml:space="preserve">Technical Specification</w:t>
      </w:r>
    </w:p>
    <w:p>
      <w:pPr>
        <w:spacing w:after="80"/>
        <w:jc w:val="center"/>
      </w:pPr>
      <w:r>
        <w:rPr>
          <w:b/>
          <w:bCs/>
          <w:sz w:val="22"/>
          <w:szCs w:val="22"/>
        </w:rPr>
        <w:t xml:space="preserve">Version: 1.0  |  Status: Living Document</w:t>
      </w:r>
    </w:p>
    <w:p>
      <w:pPr>
        <w:spacing w:after="80"/>
        <w:jc w:val="center"/>
      </w:pPr>
      <w:r>
        <w:rPr>
          <w:sz w:val="22"/>
          <w:szCs w:val="22"/>
        </w:rPr>
        <w:t xml:space="preserve">Date: 30 March 2026</w:t>
      </w:r>
    </w:p>
    <w:p>
      <w:pPr>
        <w:spacing w:after="80"/>
        <w:jc w:val="center"/>
      </w:pPr>
      <w:r>
        <w:rPr>
          <w:i/>
          <w:iCs/>
          <w:color w:val="555555"/>
          <w:sz w:val="22"/>
          <w:szCs w:val="22"/>
        </w:rPr>
        <w:t xml:space="preserve">Authored by: Ali (Lead Developer) in collaboration with Phil Spraglack</w:t>
      </w:r>
    </w:p>
    <w:p>
      <w:pPr>
        <w:spacing w:after="200"/>
      </w:pPr>
    </w:p>
    <w:sdt>
      <w:sdtPr>
        <w:alias w:val="Contents"/>
      </w:sdtPr>
      <w:sdtContent>
        <w:p>
          <w:r>
            <w:fldChar w:fldCharType="begin" w:dirty="true"/>
            <w:instrText xml:space="preserve">TOC \h \o "1-3"</w:instrText>
            <w:fldChar w:fldCharType="separate"/>
          </w:r>
        </w:p>
        <w:p>
          <w:r>
            <w:fldChar w:fldCharType="end"/>
          </w:r>
        </w:p>
      </w:sdtContent>
    </w:sdt>
    <w:p>
      <w:pPr>
        <w:spacing w:after="200"/>
      </w:pPr>
    </w:p>
    <w:p>
      <w:pPr>
        <w:spacing w:after="100"/>
      </w:pPr>
      <w:r>
        <w:rPr>
          <w:b/>
          <w:bCs/>
          <w:color w:val="2E4A1E"/>
          <w:sz w:val="22"/>
          <w:szCs w:val="22"/>
        </w:rPr>
        <w:t xml:space="preserve">How to use this document</w:t>
      </w:r>
    </w:p>
    <w:p>
      <w:pPr>
        <w:spacing w:after="140"/>
      </w:pPr>
      <w:r>
        <w:rPr>
          <w:sz w:val="22"/>
          <w:szCs w:val="22"/>
        </w:rPr>
        <w:t xml:space="preserve">This document records every architecture and technology decision made for UKCP, along with the rationale. It is a living document — updated at the start of each session when decisions change. Decisions recorded here are binding until explicitly revised. No code is written against an assumption that contradicts this document.</w:t>
      </w:r>
    </w:p>
    <w:p>
      <w:pPr>
        <w:spacing w:after="200"/>
      </w:pPr>
    </w:p>
    <w:p>
      <w:pPr>
        <w:pStyle w:val="Heading1"/>
      </w:pPr>
      <w:bookmarkStart w:name="s1" w:id="1"/>
      <w:r>
        <w:t xml:space="preserve">1.  Architecture Principles</w:t>
      </w:r>
      <w:bookmarkEnd w:id="1"/>
    </w:p>
    <w:p>
      <w:pPr>
        <w:spacing w:after="140"/>
      </w:pPr>
      <w:r>
        <w:rPr>
          <w:sz w:val="22"/>
          <w:szCs w:val="22"/>
        </w:rPr>
        <w:t xml:space="preserve">These principles are the constitution of the UKCP technical approach. They take precedence over any individual technical preference, including mine.</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Principle</w:t>
            </w:r>
          </w:p>
        </w:tc>
        <w:tc>
          <w:tcPr>
            <w:tcW w:type="dxa" w:w="6626"/>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Meaning</w:t>
            </w:r>
          </w:p>
        </w:tc>
      </w:tr>
      <w:tr>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Agricultural over abstract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Prefer straightforward, readable code over clever abstractions. A developer — including Phil — must be able to read any component and understand what it does without needing to trace through multiple layers. If an abstraction cannot be explained in one sentence, it needs justification.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Client-first data strategy</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Static and reference data is loaded once and cached in the browser. The server is not contacted for data that hasn't changed since the last load. This eliminates the need for an active backend during early development and improves perceived performance.</w:t>
            </w:r>
          </w:p>
        </w:tc>
      </w:tr>
      <w:tr>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One responsibility per file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Each component, hook, or utility does one thing. A component that fetches data, transforms it, and renders UI is three things. Split it. This keeps files short, testable, and replaceable.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Props are the API</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Components communicate via props only. No component reaches into another component's state. No global state manager. React's built-in state and context is sufficient for this application at this stage.</w:t>
            </w:r>
          </w:p>
        </w:tc>
      </w:tr>
      <w:tr>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No premature backend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Backend infrastructure is introduced only when it is genuinely needed for a confirmed feature. CSV files and local JSON are acceptable data sources until dynamic social content is in active scope.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Standards compliance is not optional</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Every file delivered by Claude Code must meet JSDoc standards, Mantine layout conventions, and the naming conventions in this document before it is accepted. Partial compliance is a reject.</w:t>
            </w:r>
          </w:p>
        </w:tc>
      </w:tr>
    </w:tbl>
    <w:p>
      <w:pPr>
        <w:spacing w:after="200"/>
      </w:pPr>
    </w:p>
    <w:p>
      <w:pPr>
        <w:pStyle w:val="Heading1"/>
      </w:pPr>
      <w:bookmarkStart w:name="s2" w:id="1"/>
      <w:r>
        <w:t xml:space="preserve">2.  Technology Stack</w:t>
      </w:r>
      <w:bookmarkEnd w:id="1"/>
    </w:p>
    <w:p>
      <w:pPr>
        <w:spacing w:after="140"/>
      </w:pPr>
      <w:r>
        <w:rPr>
          <w:sz w:val="22"/>
          <w:szCs w:val="22"/>
        </w:rPr>
        <w:t xml:space="preserve">All stack decisions are confirmed below with rationale. These are not open to re-discussion unless a specific problem is identified in session.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c>
          <w:tcPr>
            <w:tcW w:type="dxa" w:w="2200"/>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Layer</w:t>
            </w:r>
          </w:p>
        </w:tc>
        <w:tc>
          <w:tcPr>
            <w:tcW w:type="dxa" w:w="2000"/>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Choice</w:t>
            </w:r>
          </w:p>
        </w:tc>
        <w:tc>
          <w:tcPr>
            <w:tcW w:type="dxa" w:w="4826"/>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Rationale</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b/>
                <w:bCs/>
                <w:sz w:val="19"/>
                <w:szCs w:val="19"/>
              </w:rPr>
              <w:t xml:space="preserve">UI Framework</w:t>
            </w:r>
          </w:p>
        </w:tc>
        <w:tc>
          <w:tcPr>
            <w:tcW w:type="dxa" w:w="2000"/>
            <w:tcBorders>
              <w:top w:val="single" w:color="CCCCCC" w:sz="1"/>
              <w:left w:val="single" w:color="CCCCCC" w:sz="1"/>
              <w:bottom w:val="single" w:color="CCCCCC" w:sz="1"/>
              <w:right w:val="single" w:color="CCCCCC" w:sz="1"/>
            </w:tcBorders>
            <w:shd w:fill="E8F4D9" w:val="clear"/>
            <w:tcMar>
              <w:top w:type="dxa" w:w="80"/>
              <w:left w:type="dxa" w:w="120"/>
              <w:bottom w:type="dxa" w:w="80"/>
              <w:right w:type="dxa" w:w="120"/>
            </w:tcMar>
          </w:tcPr>
          <w:p>
            <w:r>
              <w:rPr>
                <w:b/>
                <w:bCs/>
                <w:color w:val="2E4A1E"/>
                <w:sz w:val="19"/>
                <w:szCs w:val="19"/>
              </w:rPr>
              <w:t xml:space="preserve">React 18</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Ubiquitous. Maximum hosting flexibility. Largest ecosystem. Component model aligns with UKCP's compositional approach. No change from prior work.</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b/>
                <w:bCs/>
                <w:sz w:val="19"/>
                <w:szCs w:val="19"/>
              </w:rPr>
              <w:t xml:space="preserve">Build Tool</w:t>
            </w:r>
          </w:p>
        </w:tc>
        <w:tc>
          <w:tcPr>
            <w:tcW w:type="dxa" w:w="2000"/>
            <w:tcBorders>
              <w:top w:val="single" w:color="CCCCCC" w:sz="1"/>
              <w:left w:val="single" w:color="CCCCCC" w:sz="1"/>
              <w:bottom w:val="single" w:color="CCCCCC" w:sz="1"/>
              <w:right w:val="single" w:color="CCCCCC" w:sz="1"/>
            </w:tcBorders>
            <w:shd w:fill="E8F4D9" w:val="clear"/>
            <w:tcMar>
              <w:top w:type="dxa" w:w="80"/>
              <w:left w:type="dxa" w:w="120"/>
              <w:bottom w:type="dxa" w:w="80"/>
              <w:right w:type="dxa" w:w="120"/>
            </w:tcMar>
          </w:tcPr>
          <w:p>
            <w:r>
              <w:rPr>
                <w:b/>
                <w:bCs/>
                <w:color w:val="2E4A1E"/>
                <w:sz w:val="19"/>
                <w:szCs w:val="19"/>
              </w:rPr>
              <w:t xml:space="preserve">Vite 5</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Fast dev server, ES module native, minimal config. No change from prior work.</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b/>
                <w:bCs/>
                <w:sz w:val="19"/>
                <w:szCs w:val="19"/>
              </w:rPr>
              <w:t xml:space="preserve">Component Library</w:t>
            </w:r>
          </w:p>
        </w:tc>
        <w:tc>
          <w:tcPr>
            <w:tcW w:type="dxa" w:w="2000"/>
            <w:tcBorders>
              <w:top w:val="single" w:color="CCCCCC" w:sz="1"/>
              <w:left w:val="single" w:color="CCCCCC" w:sz="1"/>
              <w:bottom w:val="single" w:color="CCCCCC" w:sz="1"/>
              <w:right w:val="single" w:color="CCCCCC" w:sz="1"/>
            </w:tcBorders>
            <w:shd w:fill="E8F4D9" w:val="clear"/>
            <w:tcMar>
              <w:top w:type="dxa" w:w="80"/>
              <w:left w:type="dxa" w:w="120"/>
              <w:bottom w:type="dxa" w:w="80"/>
              <w:right w:type="dxa" w:w="120"/>
            </w:tcMar>
          </w:tcPr>
          <w:p>
            <w:r>
              <w:rPr>
                <w:b/>
                <w:bCs/>
                <w:color w:val="2E4A1E"/>
                <w:sz w:val="19"/>
                <w:szCs w:val="19"/>
              </w:rPr>
              <w:t xml:space="preserve">Mantine v7</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Upgrade from v6. v7 drops Emotion (CSS-in-JS) for CSS layers — better performance, cleaner output. Same 'develop once, all devices' capability. Breaking changes are manageable at project start.</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b/>
                <w:bCs/>
                <w:sz w:val="19"/>
                <w:szCs w:val="19"/>
              </w:rPr>
              <w:t xml:space="preserve">Routing</w:t>
            </w:r>
          </w:p>
        </w:tc>
        <w:tc>
          <w:tcPr>
            <w:tcW w:type="dxa" w:w="2000"/>
            <w:tcBorders>
              <w:top w:val="single" w:color="CCCCCC" w:sz="1"/>
              <w:left w:val="single" w:color="CCCCCC" w:sz="1"/>
              <w:bottom w:val="single" w:color="CCCCCC" w:sz="1"/>
              <w:right w:val="single" w:color="CCCCCC" w:sz="1"/>
            </w:tcBorders>
            <w:shd w:fill="E8F4D9" w:val="clear"/>
            <w:tcMar>
              <w:top w:type="dxa" w:w="80"/>
              <w:left w:type="dxa" w:w="120"/>
              <w:bottom w:type="dxa" w:w="80"/>
              <w:right w:type="dxa" w:w="120"/>
            </w:tcMar>
          </w:tcPr>
          <w:p>
            <w:r>
              <w:rPr>
                <w:b/>
                <w:bCs/>
                <w:color w:val="2E4A1E"/>
                <w:sz w:val="19"/>
                <w:szCs w:val="19"/>
              </w:rPr>
              <w:t xml:space="preserve">React Router v6</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Standard. File-based routing pattern. No change.</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b/>
                <w:bCs/>
                <w:sz w:val="19"/>
                <w:szCs w:val="19"/>
              </w:rPr>
              <w:t xml:space="preserve">Icons</w:t>
            </w:r>
          </w:p>
        </w:tc>
        <w:tc>
          <w:tcPr>
            <w:tcW w:type="dxa" w:w="2000"/>
            <w:tcBorders>
              <w:top w:val="single" w:color="CCCCCC" w:sz="1"/>
              <w:left w:val="single" w:color="CCCCCC" w:sz="1"/>
              <w:bottom w:val="single" w:color="CCCCCC" w:sz="1"/>
              <w:right w:val="single" w:color="CCCCCC" w:sz="1"/>
            </w:tcBorders>
            <w:shd w:fill="E8F4D9" w:val="clear"/>
            <w:tcMar>
              <w:top w:type="dxa" w:w="80"/>
              <w:left w:type="dxa" w:w="120"/>
              <w:bottom w:type="dxa" w:w="80"/>
              <w:right w:type="dxa" w:w="120"/>
            </w:tcMar>
          </w:tcPr>
          <w:p>
            <w:r>
              <w:rPr>
                <w:b/>
                <w:bCs/>
                <w:color w:val="2E4A1E"/>
                <w:sz w:val="19"/>
                <w:szCs w:val="19"/>
              </w:rPr>
              <w:t xml:space="preserve">@tabler/icons-react</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Already in use. Comprehensive set. Consistent style. No change.</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b/>
                <w:bCs/>
                <w:sz w:val="19"/>
                <w:szCs w:val="19"/>
              </w:rPr>
              <w:t xml:space="preserve">CSV Parsing</w:t>
            </w:r>
          </w:p>
        </w:tc>
        <w:tc>
          <w:tcPr>
            <w:tcW w:type="dxa" w:w="2000"/>
            <w:tcBorders>
              <w:top w:val="single" w:color="CCCCCC" w:sz="1"/>
              <w:left w:val="single" w:color="CCCCCC" w:sz="1"/>
              <w:bottom w:val="single" w:color="CCCCCC" w:sz="1"/>
              <w:right w:val="single" w:color="CCCCCC" w:sz="1"/>
            </w:tcBorders>
            <w:shd w:fill="E8F4D9" w:val="clear"/>
            <w:tcMar>
              <w:top w:type="dxa" w:w="80"/>
              <w:left w:type="dxa" w:w="120"/>
              <w:bottom w:type="dxa" w:w="80"/>
              <w:right w:type="dxa" w:w="120"/>
            </w:tcMar>
          </w:tcPr>
          <w:p>
            <w:r>
              <w:rPr>
                <w:b/>
                <w:bCs/>
                <w:color w:val="2E4A1E"/>
                <w:sz w:val="19"/>
                <w:szCs w:val="19"/>
              </w:rPr>
              <w:t xml:space="preserve">PapaParse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Already in use. Best-in-class browser CSV parser. Handles the large location datasets reliably.</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b/>
                <w:bCs/>
                <w:sz w:val="19"/>
                <w:szCs w:val="19"/>
              </w:rPr>
              <w:t xml:space="preserve">Client Cache</w:t>
            </w:r>
          </w:p>
        </w:tc>
        <w:tc>
          <w:tcPr>
            <w:tcW w:type="dxa" w:w="2000"/>
            <w:tcBorders>
              <w:top w:val="single" w:color="CCCCCC" w:sz="1"/>
              <w:left w:val="single" w:color="CCCCCC" w:sz="1"/>
              <w:bottom w:val="single" w:color="CCCCCC" w:sz="1"/>
              <w:right w:val="single" w:color="CCCCCC" w:sz="1"/>
            </w:tcBorders>
            <w:shd w:fill="E8F4D9" w:val="clear"/>
            <w:tcMar>
              <w:top w:type="dxa" w:w="80"/>
              <w:left w:type="dxa" w:w="120"/>
              <w:bottom w:type="dxa" w:w="80"/>
              <w:right w:type="dxa" w:w="120"/>
            </w:tcMar>
          </w:tcPr>
          <w:p>
            <w:r>
              <w:rPr>
                <w:b/>
                <w:bCs/>
                <w:color w:val="2E4A1E"/>
                <w:sz w:val="19"/>
                <w:szCs w:val="19"/>
              </w:rPr>
              <w:t xml:space="preserve">localStorage + sessionStorage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See Section 4. Built-in browser APIs. No external dependency. Sufficient for the data volumes involved.</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b/>
                <w:bCs/>
                <w:sz w:val="19"/>
                <w:szCs w:val="19"/>
              </w:rPr>
              <w:t xml:space="preserve">HTTP Client</w:t>
            </w:r>
          </w:p>
        </w:tc>
        <w:tc>
          <w:tcPr>
            <w:tcW w:type="dxa" w:w="2000"/>
            <w:tcBorders>
              <w:top w:val="single" w:color="CCCCCC" w:sz="1"/>
              <w:left w:val="single" w:color="CCCCCC" w:sz="1"/>
              <w:bottom w:val="single" w:color="CCCCCC" w:sz="1"/>
              <w:right w:val="single" w:color="CCCCCC" w:sz="1"/>
            </w:tcBorders>
            <w:shd w:fill="E8F4D9" w:val="clear"/>
            <w:tcMar>
              <w:top w:type="dxa" w:w="80"/>
              <w:left w:type="dxa" w:w="120"/>
              <w:bottom w:type="dxa" w:w="80"/>
              <w:right w:type="dxa" w:w="120"/>
            </w:tcMar>
          </w:tcPr>
          <w:p>
            <w:r>
              <w:rPr>
                <w:b/>
                <w:bCs/>
                <w:color w:val="2E4A1E"/>
                <w:sz w:val="19"/>
                <w:szCs w:val="19"/>
              </w:rPr>
              <w:t xml:space="preserve">fetch (native)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Axios is present in the existing package.json but native fetch is sufficient and removes a dependency. Axios can be reintroduced if interceptors or advanced features are needed.</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b/>
                <w:bCs/>
                <w:sz w:val="19"/>
                <w:szCs w:val="19"/>
              </w:rPr>
              <w:t xml:space="preserve">State Management</w:t>
            </w:r>
          </w:p>
        </w:tc>
        <w:tc>
          <w:tcPr>
            <w:tcW w:type="dxa" w:w="2000"/>
            <w:tcBorders>
              <w:top w:val="single" w:color="CCCCCC" w:sz="1"/>
              <w:left w:val="single" w:color="CCCCCC" w:sz="1"/>
              <w:bottom w:val="single" w:color="CCCCCC" w:sz="1"/>
              <w:right w:val="single" w:color="CCCCCC" w:sz="1"/>
            </w:tcBorders>
            <w:shd w:fill="E8F4D9" w:val="clear"/>
            <w:tcMar>
              <w:top w:type="dxa" w:w="80"/>
              <w:left w:type="dxa" w:w="120"/>
              <w:bottom w:type="dxa" w:w="80"/>
              <w:right w:type="dxa" w:w="120"/>
            </w:tcMar>
          </w:tcPr>
          <w:p>
            <w:r>
              <w:rPr>
                <w:b/>
                <w:bCs/>
                <w:color w:val="2E4A1E"/>
                <w:sz w:val="19"/>
                <w:szCs w:val="19"/>
              </w:rPr>
              <w:t xml:space="preserve">React hooks only</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No Redux, no Zustand, no MobX. Custom hooks with useState and useEffect. Context API for cross-cutting concerns only (e.g. selected location). Simple and traceable.</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b/>
                <w:bCs/>
                <w:sz w:val="19"/>
                <w:szCs w:val="19"/>
              </w:rPr>
              <w:t xml:space="preserve">Backend (deferred)</w:t>
            </w:r>
          </w:p>
        </w:tc>
        <w:tc>
          <w:tcPr>
            <w:tcW w:type="dxa" w:w="2000"/>
            <w:tcBorders>
              <w:top w:val="single" w:color="CCCCCC" w:sz="1"/>
              <w:left w:val="single" w:color="CCCCCC" w:sz="1"/>
              <w:bottom w:val="single" w:color="CCCCCC" w:sz="1"/>
              <w:right w:val="single" w:color="CCCCCC" w:sz="1"/>
            </w:tcBorders>
            <w:shd w:fill="E8F4D9" w:val="clear"/>
            <w:tcMar>
              <w:top w:type="dxa" w:w="80"/>
              <w:left w:type="dxa" w:w="120"/>
              <w:bottom w:type="dxa" w:w="80"/>
              <w:right w:type="dxa" w:w="120"/>
            </w:tcMar>
          </w:tcPr>
          <w:p>
            <w:r>
              <w:rPr>
                <w:b/>
                <w:bCs/>
                <w:color w:val="2E4A1E"/>
                <w:sz w:val="19"/>
                <w:szCs w:val="19"/>
              </w:rPr>
              <w:t xml:space="preserve">Node / Express</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Present in existing project. Not activated until dynamic social content is in scope. Will expose a simple REST API.</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b/>
                <w:bCs/>
                <w:sz w:val="19"/>
                <w:szCs w:val="19"/>
              </w:rPr>
              <w:t xml:space="preserve">Database (deferred)</w:t>
            </w:r>
          </w:p>
        </w:tc>
        <w:tc>
          <w:tcPr>
            <w:tcW w:type="dxa" w:w="2000"/>
            <w:tcBorders>
              <w:top w:val="single" w:color="CCCCCC" w:sz="1"/>
              <w:left w:val="single" w:color="CCCCCC" w:sz="1"/>
              <w:bottom w:val="single" w:color="CCCCCC" w:sz="1"/>
              <w:right w:val="single" w:color="CCCCCC" w:sz="1"/>
            </w:tcBorders>
            <w:shd w:fill="E8F4D9" w:val="clear"/>
            <w:tcMar>
              <w:top w:type="dxa" w:w="80"/>
              <w:left w:type="dxa" w:w="120"/>
              <w:bottom w:type="dxa" w:w="80"/>
              <w:right w:type="dxa" w:w="120"/>
            </w:tcMar>
          </w:tcPr>
          <w:p>
            <w:r>
              <w:rPr>
                <w:b/>
                <w:bCs/>
                <w:color w:val="2E4A1E"/>
                <w:sz w:val="19"/>
                <w:szCs w:val="19"/>
              </w:rPr>
              <w:t xml:space="preserve">MongoDB / Mongoose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Present in existing project config. Appropriate for the document-oriented nature of posts, groups, and user data.</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b/>
                <w:bCs/>
                <w:sz w:val="19"/>
                <w:szCs w:val="19"/>
              </w:rPr>
              <w:t xml:space="preserve">Language</w:t>
            </w:r>
          </w:p>
        </w:tc>
        <w:tc>
          <w:tcPr>
            <w:tcW w:type="dxa" w:w="2000"/>
            <w:tcBorders>
              <w:top w:val="single" w:color="CCCCCC" w:sz="1"/>
              <w:left w:val="single" w:color="CCCCCC" w:sz="1"/>
              <w:bottom w:val="single" w:color="CCCCCC" w:sz="1"/>
              <w:right w:val="single" w:color="CCCCCC" w:sz="1"/>
            </w:tcBorders>
            <w:shd w:fill="E8F4D9" w:val="clear"/>
            <w:tcMar>
              <w:top w:type="dxa" w:w="80"/>
              <w:left w:type="dxa" w:w="120"/>
              <w:bottom w:type="dxa" w:w="80"/>
              <w:right w:type="dxa" w:w="120"/>
            </w:tcMar>
          </w:tcPr>
          <w:p>
            <w:r>
              <w:rPr>
                <w:b/>
                <w:bCs/>
                <w:color w:val="2E4A1E"/>
                <w:sz w:val="19"/>
                <w:szCs w:val="19"/>
              </w:rPr>
              <w:t xml:space="preserve">JavaScript (JSX)</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Not TypeScript. TypeScript adds value at scale but adds cognitive overhead now. Phil must be able to read and reason about every file. If TypeScript is introduced later it will be a formal decision.</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b/>
                <w:bCs/>
                <w:sz w:val="19"/>
                <w:szCs w:val="19"/>
              </w:rPr>
              <w:t xml:space="preserve">Package Manager</w:t>
            </w:r>
          </w:p>
        </w:tc>
        <w:tc>
          <w:tcPr>
            <w:tcW w:type="dxa" w:w="2000"/>
            <w:tcBorders>
              <w:top w:val="single" w:color="CCCCCC" w:sz="1"/>
              <w:left w:val="single" w:color="CCCCCC" w:sz="1"/>
              <w:bottom w:val="single" w:color="CCCCCC" w:sz="1"/>
              <w:right w:val="single" w:color="CCCCCC" w:sz="1"/>
            </w:tcBorders>
            <w:shd w:fill="E8F4D9" w:val="clear"/>
            <w:tcMar>
              <w:top w:type="dxa" w:w="80"/>
              <w:left w:type="dxa" w:w="120"/>
              <w:bottom w:type="dxa" w:w="80"/>
              <w:right w:type="dxa" w:w="120"/>
            </w:tcMar>
          </w:tcPr>
          <w:p>
            <w:r>
              <w:rPr>
                <w:b/>
                <w:bCs/>
                <w:color w:val="2E4A1E"/>
                <w:sz w:val="19"/>
                <w:szCs w:val="19"/>
              </w:rPr>
              <w:t xml:space="preserve">npm</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Already in use. No change.</w:t>
            </w:r>
          </w:p>
        </w:tc>
      </w:tr>
    </w:tbl>
    <w:p>
      <w:pPr>
        <w:spacing w:after="200"/>
      </w:pPr>
    </w:p>
    <w:p>
      <w:pPr>
        <w:pStyle w:val="Heading1"/>
      </w:pPr>
      <w:bookmarkStart w:name="s3" w:id="1"/>
      <w:r>
        <w:t xml:space="preserve">3.  Project Structure</w:t>
      </w:r>
      <w:bookmarkEnd w:id="1"/>
    </w:p>
    <w:p>
      <w:pPr>
        <w:spacing w:after="140"/>
      </w:pPr>
      <w:r>
        <w:rPr>
          <w:sz w:val="22"/>
          <w:szCs w:val="22"/>
        </w:rPr>
        <w:t xml:space="preserve">The following directory structure is the agreed canonical layout. All new files are created in the correct location. No ad hoc folders.</w:t>
      </w:r>
    </w:p>
    <w:p>
      <w:pPr>
        <w:spacing w:after="200"/>
      </w:pPr>
    </w:p>
    <w:p>
      <w:pPr>
        <w:spacing w:after="80"/>
        <w:ind w:left="400"/>
      </w:pPr>
      <w:r>
        <w:rPr>
          <w:rFonts w:ascii="Courier New" w:cs="Courier New" w:eastAsia="Courier New" w:hAnsi="Courier New"/>
          <w:color w:val="1A3A5C"/>
          <w:sz w:val="19"/>
          <w:szCs w:val="19"/>
        </w:rPr>
        <w:t xml:space="preserve">ukcp/</w:t>
      </w:r>
    </w:p>
    <w:p>
      <w:pPr>
        <w:spacing w:after="80"/>
        <w:ind w:left="400"/>
      </w:pPr>
      <w:r>
        <w:rPr>
          <w:rFonts w:ascii="Courier New" w:cs="Courier New" w:eastAsia="Courier New" w:hAnsi="Courier New"/>
          <w:color w:val="1A3A5C"/>
          <w:sz w:val="19"/>
          <w:szCs w:val="19"/>
        </w:rPr>
        <w:t xml:space="preserve">  ├── public/</w:t>
      </w:r>
    </w:p>
    <w:p>
      <w:pPr>
        <w:spacing w:after="80"/>
        <w:ind w:left="400"/>
      </w:pPr>
      <w:r>
        <w:rPr>
          <w:rFonts w:ascii="Courier New" w:cs="Courier New" w:eastAsia="Courier New" w:hAnsi="Courier New"/>
          <w:color w:val="1A3A5C"/>
          <w:sz w:val="19"/>
          <w:szCs w:val="19"/>
        </w:rPr>
        <w:t xml:space="preserve">  │     └── data/              ←  All CSV and JSON static data files</w:t>
      </w:r>
    </w:p>
    <w:p>
      <w:pPr>
        <w:spacing w:after="80"/>
        <w:ind w:left="400"/>
      </w:pPr>
      <w:r>
        <w:rPr>
          <w:rFonts w:ascii="Courier New" w:cs="Courier New" w:eastAsia="Courier New" w:hAnsi="Courier New"/>
          <w:color w:val="1A3A5C"/>
          <w:sz w:val="19"/>
          <w:szCs w:val="19"/>
        </w:rPr>
        <w:t xml:space="preserve">  ├── src/</w:t>
      </w:r>
    </w:p>
    <w:p>
      <w:pPr>
        <w:spacing w:after="80"/>
        <w:ind w:left="400"/>
      </w:pPr>
      <w:r>
        <w:rPr>
          <w:rFonts w:ascii="Courier New" w:cs="Courier New" w:eastAsia="Courier New" w:hAnsi="Courier New"/>
          <w:color w:val="1A3A5C"/>
          <w:sz w:val="19"/>
          <w:szCs w:val="19"/>
        </w:rPr>
        <w:t xml:space="preserve">  │     ├── assets/            ←  Images, logos, backgrounds</w:t>
      </w:r>
    </w:p>
    <w:p>
      <w:pPr>
        <w:spacing w:after="80"/>
        <w:ind w:left="400"/>
      </w:pPr>
      <w:r>
        <w:rPr>
          <w:rFonts w:ascii="Courier New" w:cs="Courier New" w:eastAsia="Courier New" w:hAnsi="Courier New"/>
          <w:color w:val="1A3A5C"/>
          <w:sz w:val="19"/>
          <w:szCs w:val="19"/>
        </w:rPr>
        <w:t xml:space="preserve">  │     ├── components/        ←  Reusable UI components</w:t>
      </w:r>
    </w:p>
    <w:p>
      <w:pPr>
        <w:spacing w:after="80"/>
        <w:ind w:left="400"/>
      </w:pPr>
      <w:r>
        <w:rPr>
          <w:rFonts w:ascii="Courier New" w:cs="Courier New" w:eastAsia="Courier New" w:hAnsi="Courier New"/>
          <w:color w:val="1A3A5C"/>
          <w:sz w:val="19"/>
          <w:szCs w:val="19"/>
        </w:rPr>
        <w:t xml:space="preserve">  │     │     ├── Header/        ←  All header-related components</w:t>
      </w:r>
    </w:p>
    <w:p>
      <w:pPr>
        <w:spacing w:after="80"/>
        <w:ind w:left="400"/>
      </w:pPr>
      <w:r>
        <w:rPr>
          <w:rFonts w:ascii="Courier New" w:cs="Courier New" w:eastAsia="Courier New" w:hAnsi="Courier New"/>
          <w:color w:val="1A3A5C"/>
          <w:sz w:val="19"/>
          <w:szCs w:val="19"/>
        </w:rPr>
        <w:t xml:space="preserve">  │     │     ├── MidPane/       ←  Social feed components</w:t>
      </w:r>
    </w:p>
    <w:p>
      <w:pPr>
        <w:spacing w:after="80"/>
        <w:ind w:left="400"/>
      </w:pPr>
      <w:r>
        <w:rPr>
          <w:rFonts w:ascii="Courier New" w:cs="Courier New" w:eastAsia="Courier New" w:hAnsi="Courier New"/>
          <w:color w:val="1A3A5C"/>
          <w:sz w:val="19"/>
          <w:szCs w:val="19"/>
        </w:rPr>
        <w:t xml:space="preserve">  │     │     └── Layout/        ←  PageLayout and structural shells</w:t>
      </w:r>
    </w:p>
    <w:p>
      <w:pPr>
        <w:spacing w:after="80"/>
        <w:ind w:left="400"/>
      </w:pPr>
      <w:r>
        <w:rPr>
          <w:rFonts w:ascii="Courier New" w:cs="Courier New" w:eastAsia="Courier New" w:hAnsi="Courier New"/>
          <w:color w:val="1A3A5C"/>
          <w:sz w:val="19"/>
          <w:szCs w:val="19"/>
        </w:rPr>
        <w:t xml:space="preserve">  │     ├── hooks/             ←  Custom React hooks (data + logic only)</w:t>
      </w:r>
    </w:p>
    <w:p>
      <w:pPr>
        <w:spacing w:after="80"/>
        <w:ind w:left="400"/>
      </w:pPr>
      <w:r>
        <w:rPr>
          <w:rFonts w:ascii="Courier New" w:cs="Courier New" w:eastAsia="Courier New" w:hAnsi="Courier New"/>
          <w:color w:val="1A3A5C"/>
          <w:sz w:val="19"/>
          <w:szCs w:val="19"/>
        </w:rPr>
        <w:t xml:space="preserve">  │     ├── pages/             ←  Page-level components (one per route)</w:t>
      </w:r>
    </w:p>
    <w:p>
      <w:pPr>
        <w:spacing w:after="80"/>
        <w:ind w:left="400"/>
      </w:pPr>
      <w:r>
        <w:rPr>
          <w:rFonts w:ascii="Courier New" w:cs="Courier New" w:eastAsia="Courier New" w:hAnsi="Courier New"/>
          <w:color w:val="1A3A5C"/>
          <w:sz w:val="19"/>
          <w:szCs w:val="19"/>
        </w:rPr>
        <w:t xml:space="preserve">  │     ├── theme/             ←  Mantine theme config only</w:t>
      </w:r>
    </w:p>
    <w:p>
      <w:pPr>
        <w:spacing w:after="80"/>
        <w:ind w:left="400"/>
      </w:pPr>
      <w:r>
        <w:rPr>
          <w:rFonts w:ascii="Courier New" w:cs="Courier New" w:eastAsia="Courier New" w:hAnsi="Courier New"/>
          <w:color w:val="1A3A5C"/>
          <w:sz w:val="19"/>
          <w:szCs w:val="19"/>
        </w:rPr>
        <w:t xml:space="preserve">  │     ├── utils/             ←  Pure functions: formatters, validators</w:t>
      </w:r>
    </w:p>
    <w:p>
      <w:pPr>
        <w:spacing w:after="80"/>
        <w:ind w:left="400"/>
      </w:pPr>
      <w:r>
        <w:rPr>
          <w:rFonts w:ascii="Courier New" w:cs="Courier New" w:eastAsia="Courier New" w:hAnsi="Courier New"/>
          <w:color w:val="1A3A5C"/>
          <w:sz w:val="19"/>
          <w:szCs w:val="19"/>
        </w:rPr>
        <w:t xml:space="preserve">  │     ├── app.jsx</w:t>
      </w:r>
    </w:p>
    <w:p>
      <w:pPr>
        <w:spacing w:after="80"/>
        <w:ind w:left="400"/>
      </w:pPr>
      <w:r>
        <w:rPr>
          <w:rFonts w:ascii="Courier New" w:cs="Courier New" w:eastAsia="Courier New" w:hAnsi="Courier New"/>
          <w:color w:val="1A3A5C"/>
          <w:sz w:val="19"/>
          <w:szCs w:val="19"/>
        </w:rPr>
        <w:t xml:space="preserve">  │     └── main.jsx</w:t>
      </w:r>
    </w:p>
    <w:p>
      <w:pPr>
        <w:spacing w:after="80"/>
        <w:ind w:left="400"/>
      </w:pPr>
      <w:r>
        <w:rPr>
          <w:rFonts w:ascii="Courier New" w:cs="Courier New" w:eastAsia="Courier New" w:hAnsi="Courier New"/>
          <w:color w:val="1A3A5C"/>
          <w:sz w:val="19"/>
          <w:szCs w:val="19"/>
        </w:rPr>
        <w:t xml:space="preserve">  ├── docs/                  ←  This document and Functional Definition</w:t>
      </w:r>
    </w:p>
    <w:p>
      <w:pPr>
        <w:spacing w:after="80"/>
        <w:ind w:left="400"/>
      </w:pPr>
      <w:r>
        <w:rPr>
          <w:rFonts w:ascii="Courier New" w:cs="Courier New" w:eastAsia="Courier New" w:hAnsi="Courier New"/>
          <w:color w:val="1A3A5C"/>
          <w:sz w:val="19"/>
          <w:szCs w:val="19"/>
        </w:rPr>
        <w:t xml:space="preserve">  ├── package.json</w:t>
      </w:r>
    </w:p>
    <w:p>
      <w:pPr>
        <w:spacing w:after="80"/>
        <w:ind w:left="400"/>
      </w:pPr>
      <w:r>
        <w:rPr>
          <w:rFonts w:ascii="Courier New" w:cs="Courier New" w:eastAsia="Courier New" w:hAnsi="Courier New"/>
          <w:color w:val="1A3A5C"/>
          <w:sz w:val="19"/>
          <w:szCs w:val="19"/>
        </w:rPr>
        <w:t xml:space="preserve">  └── vite.config.js</w:t>
      </w:r>
    </w:p>
    <w:p>
      <w:pPr>
        <w:spacing w:after="200"/>
      </w:pPr>
    </w:p>
    <w:p>
      <w:pPr>
        <w:spacing w:after="100"/>
        <w:ind w:left="400"/>
      </w:pPr>
      <w:r>
        <w:rPr>
          <w:i/>
          <w:iCs/>
          <w:color w:val="555555"/>
          <w:sz w:val="20"/>
          <w:szCs w:val="20"/>
        </w:rPr>
        <w:t xml:space="preserve">→  The existing src/Prompts/ folders are moved to docs/. Source folders contain only source code.</w:t>
      </w:r>
    </w:p>
    <w:p>
      <w:pPr>
        <w:spacing w:after="100"/>
        <w:ind w:left="400"/>
      </w:pPr>
      <w:r>
        <w:rPr>
          <w:i/>
          <w:iCs/>
          <w:color w:val="555555"/>
          <w:sz w:val="20"/>
          <w:szCs w:val="20"/>
        </w:rPr>
        <w:t xml:space="preserve">→  src/theme/ (the duplicate folder) is removed. Theme config lives at src/theme/themeConfig.js only.</w:t>
      </w:r>
    </w:p>
    <w:p>
      <w:pPr>
        <w:spacing w:after="200"/>
      </w:pPr>
    </w:p>
    <w:p>
      <w:pPr>
        <w:pStyle w:val="Heading1"/>
      </w:pPr>
      <w:bookmarkStart w:name="s4" w:id="1"/>
      <w:r>
        <w:t xml:space="preserve">4.  Client Cache Strategy</w:t>
      </w:r>
      <w:bookmarkEnd w:id="1"/>
    </w:p>
    <w:p>
      <w:pPr>
        <w:spacing w:after="140"/>
      </w:pPr>
      <w:r>
        <w:rPr>
          <w:sz w:val="22"/>
          <w:szCs w:val="22"/>
        </w:rPr>
        <w:t xml:space="preserve">Client-side caching is the primary mechanism for managing static reference data. The goal is: load once, serve forever (until the data version changes).</w:t>
      </w:r>
    </w:p>
    <w:p>
      <w:pPr>
        <w:spacing w:after="200"/>
      </w:pPr>
    </w:p>
    <w:p>
      <w:pPr>
        <w:pStyle w:val="Heading2"/>
      </w:pPr>
      <w:r>
        <w:t xml:space="preserve">4.1  What gets cached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26"/>
      </w:tblGrid>
      <w:tr>
        <w:tc>
          <w:tcPr>
            <w:tcW w:type="dxa" w:w="2400"/>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Data</w:t>
            </w:r>
          </w:p>
        </w:tc>
        <w:tc>
          <w:tcPr>
            <w:tcW w:type="dxa" w:w="1600"/>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Cache Type</w:t>
            </w:r>
          </w:p>
        </w:tc>
        <w:tc>
          <w:tcPr>
            <w:tcW w:type="dxa" w:w="5026"/>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Rationale</w:t>
            </w:r>
          </w:p>
        </w:tc>
      </w:tr>
      <w:tr>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Ward hierarchy (newplace.csv)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localStorage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72K rows. Built once into a hierarchy object. Expensive to rebuild. Version-keyed.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Places (place.csv)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localStorage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43K rows. Loaded once. Filtered in memory on demand.</w:t>
            </w:r>
          </w:p>
        </w:tc>
      </w:tr>
      <w:tr>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Selected location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sessionStorage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Per-session. The user's current confirmed location. Cleared on tab close.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Navigation state (crumb trail)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sessionStorage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Per-session. Restores navigation position if user refreshes.</w:t>
            </w:r>
          </w:p>
        </w:tc>
      </w:tr>
      <w:tr>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Post feed (future)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sessionStorage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Short-lived. Avoids re-fetching on navigation between pages within a session.</w:t>
            </w:r>
          </w:p>
        </w:tc>
      </w:tr>
    </w:tbl>
    <w:p>
      <w:pPr>
        <w:spacing w:after="200"/>
      </w:pPr>
    </w:p>
    <w:p>
      <w:pPr>
        <w:pStyle w:val="Heading2"/>
      </w:pPr>
      <w:r>
        <w:t xml:space="preserve">4.2  Cache versioning</w:t>
      </w:r>
    </w:p>
    <w:p>
      <w:pPr>
        <w:spacing w:after="140"/>
      </w:pPr>
      <w:r>
        <w:rPr>
          <w:sz w:val="22"/>
          <w:szCs w:val="22"/>
        </w:rPr>
        <w:t xml:space="preserve">Static data cached in localStorage is version-keyed. The key includes a version string that is updated when the data file changes. On load, if the cached version key does not match the current version, the cache is invalidated and data is re-fetched.</w:t>
      </w:r>
    </w:p>
    <w:p>
      <w:pPr>
        <w:spacing w:after="80"/>
        <w:ind w:left="400"/>
      </w:pPr>
      <w:r>
        <w:rPr>
          <w:rFonts w:ascii="Courier New" w:cs="Courier New" w:eastAsia="Courier New" w:hAnsi="Courier New"/>
          <w:color w:val="1A3A5C"/>
          <w:sz w:val="19"/>
          <w:szCs w:val="19"/>
        </w:rPr>
        <w:t xml:space="preserve">const CACHE_KEY = 'ukcp_ward_hierarchy_v1';</w:t>
      </w:r>
    </w:p>
    <w:p>
      <w:pPr>
        <w:spacing w:after="80"/>
        <w:ind w:left="400"/>
      </w:pPr>
      <w:r>
        <w:rPr>
          <w:rFonts w:ascii="Courier New" w:cs="Courier New" w:eastAsia="Courier New" w:hAnsi="Courier New"/>
          <w:color w:val="1A3A5C"/>
          <w:sz w:val="19"/>
          <w:szCs w:val="19"/>
        </w:rPr>
        <w:t xml:space="preserve">const cached = localStorage.getItem(CACHE_KEY);</w:t>
      </w:r>
    </w:p>
    <w:p>
      <w:pPr>
        <w:spacing w:after="80"/>
        <w:ind w:left="400"/>
      </w:pPr>
      <w:r>
        <w:rPr>
          <w:rFonts w:ascii="Courier New" w:cs="Courier New" w:eastAsia="Courier New" w:hAnsi="Courier New"/>
          <w:color w:val="1A3A5C"/>
          <w:sz w:val="19"/>
          <w:szCs w:val="19"/>
        </w:rPr>
        <w:t xml:space="preserve">if (cached) { return JSON.parse(cached); }</w:t>
      </w:r>
    </w:p>
    <w:p>
      <w:pPr>
        <w:spacing w:after="80"/>
        <w:ind w:left="400"/>
      </w:pPr>
      <w:r>
        <w:rPr>
          <w:rFonts w:ascii="Courier New" w:cs="Courier New" w:eastAsia="Courier New" w:hAnsi="Courier New"/>
          <w:color w:val="1A3A5C"/>
          <w:sz w:val="19"/>
          <w:szCs w:val="19"/>
        </w:rPr>
        <w:t xml:space="preserve">const data = await buildWardHierarchy();</w:t>
      </w:r>
    </w:p>
    <w:p>
      <w:pPr>
        <w:spacing w:after="80"/>
        <w:ind w:left="400"/>
      </w:pPr>
      <w:r>
        <w:rPr>
          <w:rFonts w:ascii="Courier New" w:cs="Courier New" w:eastAsia="Courier New" w:hAnsi="Courier New"/>
          <w:color w:val="1A3A5C"/>
          <w:sz w:val="19"/>
          <w:szCs w:val="19"/>
        </w:rPr>
        <w:t xml:space="preserve">localStorage.setItem(CACHE_KEY, JSON.stringify(data));</w:t>
      </w:r>
    </w:p>
    <w:p>
      <w:pPr>
        <w:spacing w:after="140"/>
      </w:pPr>
      <w:r>
        <w:rPr>
          <w:sz w:val="22"/>
          <w:szCs w:val="22"/>
        </w:rPr>
        <w:t xml:space="preserve">This pattern is implemented in the data hook, not in the component. Components never interact with localStorage directly.</w:t>
      </w:r>
    </w:p>
    <w:p>
      <w:pPr>
        <w:spacing w:after="200"/>
      </w:pPr>
    </w:p>
    <w:p>
      <w:pPr>
        <w:pStyle w:val="Heading2"/>
      </w:pPr>
      <w:r>
        <w:t xml:space="preserve">4.3  Cache size awareness</w:t>
      </w:r>
    </w:p>
    <w:p>
      <w:pPr>
        <w:spacing w:after="140"/>
      </w:pPr>
      <w:r>
        <w:rPr>
          <w:sz w:val="22"/>
          <w:szCs w:val="22"/>
        </w:rPr>
        <w:t xml:space="preserve">localStorage has a typical 5MB limit per origin. The ward hierarchy object serialised is estimated at 2-3MB. The places array at approximately 1.5MB. Combined this is within the limit but leaves little headroom. If data grows, the strategy will be revisited — IndexedDB supports larger payloads and is the fallback.</w:t>
      </w:r>
    </w:p>
    <w:p>
      <w:pPr>
        <w:spacing w:after="200"/>
      </w:pPr>
    </w:p>
    <w:p>
      <w:pPr>
        <w:pStyle w:val="Heading1"/>
      </w:pPr>
      <w:bookmarkStart w:name="s5" w:id="1"/>
      <w:r>
        <w:t xml:space="preserve">5.  Component Standards</w:t>
      </w:r>
      <w:bookmarkEnd w:id="1"/>
    </w:p>
    <w:p>
      <w:pPr>
        <w:spacing w:after="140"/>
      </w:pPr>
      <w:r>
        <w:rPr>
          <w:sz w:val="22"/>
          <w:szCs w:val="22"/>
        </w:rPr>
        <w:t xml:space="preserve">Every component delivered must conform to these standards without exception. These are checked by Ali before any file is accepted.</w:t>
      </w:r>
    </w:p>
    <w:p>
      <w:pPr>
        <w:spacing w:after="200"/>
      </w:pPr>
    </w:p>
    <w:p>
      <w:pPr>
        <w:pStyle w:val="Heading2"/>
      </w:pPr>
      <w:r>
        <w:t xml:space="preserve">5.1  File header (JSDoc)</w:t>
      </w:r>
    </w:p>
    <w:p>
      <w:pPr>
        <w:spacing w:after="140"/>
      </w:pPr>
      <w:r>
        <w:rPr>
          <w:sz w:val="22"/>
          <w:szCs w:val="22"/>
        </w:rPr>
        <w:t xml:space="preserve">Every component file begins with a JSDoc block containing:</w:t>
      </w:r>
    </w:p>
    <w:p>
      <w:pPr>
        <w:spacing w:after="80"/>
        <w:ind w:left="400"/>
      </w:pPr>
      <w:r>
        <w:rPr>
          <w:rFonts w:ascii="Courier New" w:cs="Courier New" w:eastAsia="Courier New" w:hAnsi="Courier New"/>
          <w:color w:val="1A3A5C"/>
          <w:sz w:val="19"/>
          <w:szCs w:val="19"/>
        </w:rPr>
        <w:t xml:space="preserve">/**</w:t>
      </w:r>
    </w:p>
    <w:p>
      <w:pPr>
        <w:spacing w:after="80"/>
        <w:ind w:left="400"/>
      </w:pPr>
      <w:r>
        <w:rPr>
          <w:rFonts w:ascii="Courier New" w:cs="Courier New" w:eastAsia="Courier New" w:hAnsi="Courier New"/>
          <w:color w:val="1A3A5C"/>
          <w:sz w:val="19"/>
          <w:szCs w:val="19"/>
        </w:rPr>
        <w:t xml:space="preserve"> * @file ComponentName.jsx</w:t>
      </w:r>
    </w:p>
    <w:p>
      <w:pPr>
        <w:spacing w:after="80"/>
        <w:ind w:left="400"/>
      </w:pPr>
      <w:r>
        <w:rPr>
          <w:rFonts w:ascii="Courier New" w:cs="Courier New" w:eastAsia="Courier New" w:hAnsi="Courier New"/>
          <w:color w:val="1A3A5C"/>
          <w:sz w:val="19"/>
          <w:szCs w:val="19"/>
        </w:rPr>
        <w:t xml:space="preserve"> * @description One sentence: what this component renders and why it exists.</w:t>
      </w:r>
    </w:p>
    <w:p>
      <w:pPr>
        <w:spacing w:after="80"/>
        <w:ind w:left="400"/>
      </w:pPr>
      <w:r>
        <w:rPr>
          <w:rFonts w:ascii="Courier New" w:cs="Courier New" w:eastAsia="Courier New" w:hAnsi="Courier New"/>
          <w:color w:val="1A3A5C"/>
          <w:sz w:val="19"/>
          <w:szCs w:val="19"/>
        </w:rPr>
        <w:t xml:space="preserve"> * @module components/FolderName</w:t>
      </w:r>
    </w:p>
    <w:p>
      <w:pPr>
        <w:spacing w:after="80"/>
        <w:ind w:left="400"/>
      </w:pPr>
      <w:r>
        <w:rPr>
          <w:rFonts w:ascii="Courier New" w:cs="Courier New" w:eastAsia="Courier New" w:hAnsi="Courier New"/>
          <w:color w:val="1A3A5C"/>
          <w:sz w:val="19"/>
          <w:szCs w:val="19"/>
        </w:rPr>
        <w:t xml:space="preserve"> *</w:t>
      </w:r>
    </w:p>
    <w:p>
      <w:pPr>
        <w:spacing w:after="80"/>
        <w:ind w:left="400"/>
      </w:pPr>
      <w:r>
        <w:rPr>
          <w:rFonts w:ascii="Courier New" w:cs="Courier New" w:eastAsia="Courier New" w:hAnsi="Courier New"/>
          <w:color w:val="1A3A5C"/>
          <w:sz w:val="19"/>
          <w:szCs w:val="19"/>
        </w:rPr>
        <w:t xml:space="preserve"> * @param {Object} props</w:t>
      </w:r>
    </w:p>
    <w:p>
      <w:pPr>
        <w:spacing w:after="80"/>
        <w:ind w:left="400"/>
      </w:pPr>
      <w:r>
        <w:rPr>
          <w:rFonts w:ascii="Courier New" w:cs="Courier New" w:eastAsia="Courier New" w:hAnsi="Courier New"/>
          <w:color w:val="1A3A5C"/>
          <w:sz w:val="19"/>
          <w:szCs w:val="19"/>
        </w:rPr>
        <w:t xml:space="preserve"> * @param {string} props.propName - What this prop does.</w:t>
      </w:r>
    </w:p>
    <w:p>
      <w:pPr>
        <w:spacing w:after="80"/>
        <w:ind w:left="400"/>
      </w:pPr>
      <w:r>
        <w:rPr>
          <w:rFonts w:ascii="Courier New" w:cs="Courier New" w:eastAsia="Courier New" w:hAnsi="Courier New"/>
          <w:color w:val="1A3A5C"/>
          <w:sz w:val="19"/>
          <w:szCs w:val="19"/>
        </w:rPr>
        <w:t xml:space="preserve"> *</w:t>
      </w:r>
    </w:p>
    <w:p>
      <w:pPr>
        <w:spacing w:after="80"/>
        <w:ind w:left="400"/>
      </w:pPr>
      <w:r>
        <w:rPr>
          <w:rFonts w:ascii="Courier New" w:cs="Courier New" w:eastAsia="Courier New" w:hAnsi="Courier New"/>
          <w:color w:val="1A3A5C"/>
          <w:sz w:val="19"/>
          <w:szCs w:val="19"/>
        </w:rPr>
        <w:t xml:space="preserve"> * @example</w:t>
      </w:r>
    </w:p>
    <w:p>
      <w:pPr>
        <w:spacing w:after="80"/>
        <w:ind w:left="400"/>
      </w:pPr>
      <w:r>
        <w:rPr>
          <w:rFonts w:ascii="Courier New" w:cs="Courier New" w:eastAsia="Courier New" w:hAnsi="Courier New"/>
          <w:color w:val="1A3A5C"/>
          <w:sz w:val="19"/>
          <w:szCs w:val="19"/>
        </w:rPr>
        <w:t xml:space="preserve"> * &lt;ComponentName propName="value" /&gt;</w:t>
      </w:r>
    </w:p>
    <w:p>
      <w:pPr>
        <w:spacing w:after="80"/>
        <w:ind w:left="400"/>
      </w:pPr>
      <w:r>
        <w:rPr>
          <w:rFonts w:ascii="Courier New" w:cs="Courier New" w:eastAsia="Courier New" w:hAnsi="Courier New"/>
          <w:color w:val="1A3A5C"/>
          <w:sz w:val="19"/>
          <w:szCs w:val="19"/>
        </w:rPr>
        <w:t xml:space="preserve"> */</w:t>
      </w:r>
    </w:p>
    <w:p>
      <w:pPr>
        <w:spacing w:after="200"/>
      </w:pPr>
    </w:p>
    <w:p>
      <w:pPr>
        <w:pStyle w:val="Heading2"/>
      </w:pPr>
      <w:r>
        <w:t xml:space="preserve">5.2  Naming conventions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c>
          <w:tcPr>
            <w:tcW w:type="dxa" w:w="2400"/>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Item</w:t>
            </w:r>
          </w:p>
        </w:tc>
        <w:tc>
          <w:tcPr>
            <w:tcW w:type="dxa" w:w="2400"/>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Convention</w:t>
            </w:r>
          </w:p>
        </w:tc>
        <w:tc>
          <w:tcPr>
            <w:tcW w:type="dxa" w:w="4226"/>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Example</w:t>
            </w:r>
          </w:p>
        </w:tc>
      </w:tr>
      <w:tr>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Component files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PascalCase.jsx</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PlacesCard.jsx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Hook files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camelCase with use prefix</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useLocations.js</w:t>
            </w:r>
          </w:p>
        </w:tc>
      </w:tr>
      <w:tr>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Utility files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camelCase</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formatCrumbTrail.js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Page files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PascalCase.jsx</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Location.jsx</w:t>
            </w:r>
          </w:p>
        </w:tc>
      </w:tr>
      <w:tr>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CSS/style files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ComponentName.module.css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PlacesCard.module.css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Constants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UPPER_SNAKE_CASE</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CACHE_KEY_WARDS</w:t>
            </w:r>
          </w:p>
        </w:tc>
      </w:tr>
      <w:tr>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Event handlers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handle + Event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handleRegionClick</w:t>
            </w:r>
          </w:p>
        </w:tc>
      </w:tr>
    </w:tbl>
    <w:p>
      <w:pPr>
        <w:spacing w:after="200"/>
      </w:pPr>
    </w:p>
    <w:p>
      <w:pPr>
        <w:pStyle w:val="Heading2"/>
      </w:pPr>
      <w:r>
        <w:t xml:space="preserve">5.3  Layout rules</w:t>
      </w:r>
    </w:p>
    <w:p>
      <w:pPr>
        <w:pStyle w:val="ListParagraph"/>
        <w:numPr>
          <w:ilvl w:val="0"/>
          <w:numId w:val="2"/>
        </w:numPr>
        <w:spacing w:after="80"/>
      </w:pPr>
      <w:r>
        <w:rPr>
          <w:sz w:val="21"/>
          <w:szCs w:val="21"/>
        </w:rPr>
        <w:t xml:space="preserve">All layout uses Mantine Grid and Flex. No other layout containers without explicit agreement.</w:t>
      </w:r>
    </w:p>
    <w:p>
      <w:pPr>
        <w:pStyle w:val="ListParagraph"/>
        <w:numPr>
          <w:ilvl w:val="0"/>
          <w:numId w:val="2"/>
        </w:numPr>
        <w:spacing w:after="80"/>
      </w:pPr>
      <w:r>
        <w:rPr>
          <w:sz w:val="21"/>
          <w:szCs w:val="21"/>
        </w:rPr>
        <w:t xml:space="preserve">Mantine responsive props are used for all size variants. No media query CSS unless Mantine cannot achieve the requirement.</w:t>
      </w:r>
    </w:p>
    <w:p>
      <w:pPr>
        <w:pStyle w:val="ListParagraph"/>
        <w:numPr>
          <w:ilvl w:val="0"/>
          <w:numId w:val="2"/>
        </w:numPr>
        <w:spacing w:after="80"/>
      </w:pPr>
      <w:r>
        <w:rPr>
          <w:sz w:val="21"/>
          <w:szCs w:val="21"/>
        </w:rPr>
        <w:t xml:space="preserve">Inline styles are permitted for dynamic values only (e.g. a colour derived from a prop). Static visual properties belong in CSS or Mantine sx prop.</w:t>
      </w:r>
    </w:p>
    <w:p>
      <w:pPr>
        <w:pStyle w:val="ListParagraph"/>
        <w:numPr>
          <w:ilvl w:val="0"/>
          <w:numId w:val="2"/>
        </w:numPr>
        <w:spacing w:after="80"/>
      </w:pPr>
      <w:r>
        <w:rPr>
          <w:sz w:val="21"/>
          <w:szCs w:val="21"/>
        </w:rPr>
        <w:t xml:space="preserve">No component sets a fixed pixel height or width unless that dimension is structural and intentional. All containers constrain their children; children do not break out of their containers.</w:t>
      </w:r>
    </w:p>
    <w:p>
      <w:pPr>
        <w:pStyle w:val="ListParagraph"/>
        <w:numPr>
          <w:ilvl w:val="0"/>
          <w:numId w:val="2"/>
        </w:numPr>
        <w:spacing w:after="80"/>
      </w:pPr>
      <w:r>
        <w:rPr>
          <w:sz w:val="21"/>
          <w:szCs w:val="21"/>
        </w:rPr>
        <w:t xml:space="preserve">Images are always constrained by their parent container. The parent defines the dimensions; the image uses fit='cover' or fit='contain' as appropriate.</w:t>
      </w:r>
    </w:p>
    <w:p>
      <w:pPr>
        <w:spacing w:after="200"/>
      </w:pPr>
    </w:p>
    <w:p>
      <w:pPr>
        <w:pStyle w:val="Heading2"/>
      </w:pPr>
      <w:r>
        <w:t xml:space="preserve">5.4  Logic rules</w:t>
      </w:r>
    </w:p>
    <w:p>
      <w:pPr>
        <w:pStyle w:val="ListParagraph"/>
        <w:numPr>
          <w:ilvl w:val="0"/>
          <w:numId w:val="2"/>
        </w:numPr>
        <w:spacing w:after="80"/>
      </w:pPr>
      <w:r>
        <w:rPr>
          <w:sz w:val="21"/>
          <w:szCs w:val="21"/>
        </w:rPr>
        <w:t xml:space="preserve">No data fetching inside a component. Fetching belongs in hooks.</w:t>
      </w:r>
    </w:p>
    <w:p>
      <w:pPr>
        <w:pStyle w:val="ListParagraph"/>
        <w:numPr>
          <w:ilvl w:val="0"/>
          <w:numId w:val="2"/>
        </w:numPr>
        <w:spacing w:after="80"/>
      </w:pPr>
      <w:r>
        <w:rPr>
          <w:sz w:val="21"/>
          <w:szCs w:val="21"/>
        </w:rPr>
        <w:t xml:space="preserve">No business logic inside a component. Transformation and filtering belongs in hooks or utils.</w:t>
      </w:r>
    </w:p>
    <w:p>
      <w:pPr>
        <w:pStyle w:val="ListParagraph"/>
        <w:numPr>
          <w:ilvl w:val="0"/>
          <w:numId w:val="2"/>
        </w:numPr>
        <w:spacing w:after="80"/>
      </w:pPr>
      <w:r>
        <w:rPr>
          <w:sz w:val="21"/>
          <w:szCs w:val="21"/>
        </w:rPr>
        <w:t xml:space="preserve">No component renders more than one distinct UI concern. If it does, split it.</w:t>
      </w:r>
    </w:p>
    <w:p>
      <w:pPr>
        <w:pStyle w:val="ListParagraph"/>
        <w:numPr>
          <w:ilvl w:val="0"/>
          <w:numId w:val="2"/>
        </w:numPr>
        <w:spacing w:after="80"/>
      </w:pPr>
      <w:r>
        <w:rPr>
          <w:sz w:val="21"/>
          <w:szCs w:val="21"/>
        </w:rPr>
        <w:t xml:space="preserve">Props drilling beyond two levels is a signal to introduce a context or restructure.</w:t>
      </w:r>
    </w:p>
    <w:p>
      <w:pPr>
        <w:pStyle w:val="ListParagraph"/>
        <w:numPr>
          <w:ilvl w:val="0"/>
          <w:numId w:val="2"/>
        </w:numPr>
        <w:spacing w:after="80"/>
      </w:pPr>
      <w:r>
        <w:rPr>
          <w:sz w:val="21"/>
          <w:szCs w:val="21"/>
        </w:rPr>
        <w:t xml:space="preserve">All useEffect dependencies must be explicit and correct. No empty dependency arrays unless the intent is documented.</w:t>
      </w:r>
    </w:p>
    <w:p>
      <w:pPr>
        <w:spacing w:after="200"/>
      </w:pPr>
    </w:p>
    <w:p>
      <w:pPr>
        <w:pStyle w:val="Heading1"/>
      </w:pPr>
      <w:bookmarkStart w:name="s6" w:id="1"/>
      <w:r>
        <w:t xml:space="preserve">6.  Data Sources</w:t>
      </w:r>
      <w:bookmarkEnd w:id="1"/>
    </w:p>
    <w:p>
      <w:pPr>
        <w:spacing w:after="140"/>
      </w:pPr>
      <w:r>
        <w:rPr>
          <w:sz w:val="22"/>
          <w:szCs w:val="22"/>
        </w:rPr>
        <w:t xml:space="preserve">The following data files are the authoritative sources for location data. All files live in /public/data/ in the project.</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600"/>
        <w:gridCol w:w="4026"/>
      </w:tblGrid>
      <w:tr>
        <w:tc>
          <w:tcPr>
            <w:tcW w:type="dxa" w:w="2200"/>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File</w:t>
            </w:r>
          </w:p>
        </w:tc>
        <w:tc>
          <w:tcPr>
            <w:tcW w:type="dxa" w:w="1200"/>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Rows</w:t>
            </w:r>
          </w:p>
        </w:tc>
        <w:tc>
          <w:tcPr>
            <w:tcW w:type="dxa" w:w="1600"/>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Key Columns</w:t>
            </w:r>
          </w:p>
        </w:tc>
        <w:tc>
          <w:tcPr>
            <w:tcW w:type="dxa" w:w="4026"/>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Used For</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newplace.csv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72,467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country, region, county, area, constituency, ward, lat, long</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Building the administrative hierarchy navigation tree. Primary navigation data 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place.csv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43,338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PlaceName, Type, County, Country, Lat, Lng</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Physical place browser (cities, towns, villages, hamlets). Filtered by current navigation context.</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wards.csv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10,861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country, region, county, area, constituency, ward, wardid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Ward identity data. wardid enables precise location identification. Not yet integrated — reserved for location locking.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posts.json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Stub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id, author, content, timestamp, likes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Mock social post data for MidPane development. Replaced by API when backend is active.</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users.json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Stub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id, name, location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Mock user data. Replaced by auth system when built.</w:t>
            </w:r>
          </w:p>
        </w:tc>
      </w:tr>
    </w:tbl>
    <w:p>
      <w:pPr>
        <w:spacing w:after="200"/>
      </w:pPr>
    </w:p>
    <w:p>
      <w:pPr>
        <w:pStyle w:val="Heading2"/>
      </w:pPr>
      <w:r>
        <w:t xml:space="preserve">6.1  Data loading pattern</w:t>
      </w:r>
    </w:p>
    <w:p>
      <w:pPr>
        <w:spacing w:after="140"/>
      </w:pPr>
      <w:r>
        <w:rPr>
          <w:sz w:val="22"/>
          <w:szCs w:val="22"/>
        </w:rPr>
        <w:t xml:space="preserve">All static data is loaded via a hook. The hook checks localStorage first. On miss, it fetches the CSV from /public/data/, parses it with PapaParse, stores the result in localStorage with a version key, and returns the data. Subsequent calls within the same or future sessions are served from cache.</w:t>
      </w:r>
    </w:p>
    <w:p>
      <w:pPr>
        <w:spacing w:after="140"/>
      </w:pPr>
      <w:r>
        <w:rPr>
          <w:sz w:val="22"/>
          <w:szCs w:val="22"/>
        </w:rPr>
        <w:t xml:space="preserve">The hook exposes a loading boolean and an error state. Components render a loading indicator while data is being fetched and an error message if it fails. Components never receive raw CSV — they always receive parsed, structured data from the hook.</w:t>
      </w:r>
    </w:p>
    <w:p>
      <w:pPr>
        <w:spacing w:after="200"/>
      </w:pPr>
    </w:p>
    <w:p>
      <w:pPr>
        <w:pStyle w:val="Heading1"/>
      </w:pPr>
      <w:bookmarkStart w:name="s7" w:id="1"/>
      <w:r>
        <w:t xml:space="preserve">7.  Development Workflow</w:t>
      </w:r>
      <w:bookmarkEnd w:id="1"/>
    </w:p>
    <w:p>
      <w:pPr>
        <w:spacing w:after="140"/>
      </w:pPr>
      <w:r>
        <w:rPr>
          <w:sz w:val="22"/>
          <w:szCs w:val="22"/>
        </w:rPr>
        <w:t xml:space="preserve">This section defines how Phil and Ali work together, and how Claude Code is involved.</w:t>
      </w:r>
    </w:p>
    <w:p>
      <w:pPr>
        <w:spacing w:after="200"/>
      </w:pPr>
    </w:p>
    <w:p>
      <w:pPr>
        <w:pStyle w:val="Heading2"/>
      </w:pPr>
      <w:r>
        <w:t xml:space="preserve">7.1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Role</w:t>
            </w:r>
          </w:p>
        </w:tc>
        <w:tc>
          <w:tcPr>
            <w:tcW w:type="dxa" w:w="7026"/>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Responsibilities</w:t>
            </w:r>
          </w:p>
        </w:tc>
      </w:tr>
      <w:tr>
        <w:tc>
          <w:tcPr>
            <w:tcW w:type="dxa" w:w="20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Phil (Owner)</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Confirms scope, approves designs, tests features, accepts or rejects delivered code, raises defects, makes final decisions on product direction.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Ali (Lead Dev)</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Owns architecture decisions, writes specifications for each task, reviews all code against standards before acceptance, maintains documentation, orchestrates Claude Code.</w:t>
            </w:r>
          </w:p>
        </w:tc>
      </w:tr>
      <w:tr>
        <w:tc>
          <w:tcPr>
            <w:tcW w:type="dxa" w:w="20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Claude Code (Code Guru)</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Executes full file recreations per specification. No snippets. Delivers complete, JSDoc-compliant, standards-conformant files. Does not make architectural decisions.</w:t>
            </w:r>
          </w:p>
        </w:tc>
      </w:tr>
    </w:tbl>
    <w:p>
      <w:pPr>
        <w:spacing w:after="200"/>
      </w:pPr>
    </w:p>
    <w:p>
      <w:pPr>
        <w:pStyle w:val="Heading2"/>
      </w:pPr>
      <w:r>
        <w:t xml:space="preserve">7.2  Session protocol</w:t>
      </w:r>
    </w:p>
    <w:p>
      <w:pPr>
        <w:pStyle w:val="ListParagraph"/>
        <w:numPr>
          <w:ilvl w:val="0"/>
          <w:numId w:val="2"/>
        </w:numPr>
        <w:spacing w:after="80"/>
      </w:pPr>
      <w:r>
        <w:rPr>
          <w:sz w:val="21"/>
          <w:szCs w:val="21"/>
        </w:rPr>
        <w:t xml:space="preserve">Each session begins with Ali reviewing the two living documents (Functional Definition and Technical Specification) and confirming what has changed since last time.</w:t>
      </w:r>
    </w:p>
    <w:p>
      <w:pPr>
        <w:pStyle w:val="ListParagraph"/>
        <w:numPr>
          <w:ilvl w:val="0"/>
          <w:numId w:val="2"/>
        </w:numPr>
        <w:spacing w:after="80"/>
      </w:pPr>
      <w:r>
        <w:rPr>
          <w:sz w:val="21"/>
          <w:szCs w:val="21"/>
        </w:rPr>
        <w:t xml:space="preserve">Ali confirms the task for the session with Phil before writing any specification.</w:t>
      </w:r>
    </w:p>
    <w:p>
      <w:pPr>
        <w:pStyle w:val="ListParagraph"/>
        <w:numPr>
          <w:ilvl w:val="0"/>
          <w:numId w:val="2"/>
        </w:numPr>
        <w:spacing w:after="80"/>
      </w:pPr>
      <w:r>
        <w:rPr>
          <w:sz w:val="21"/>
          <w:szCs w:val="21"/>
        </w:rPr>
        <w:t xml:space="preserve">Ali writes the full task specification and presents it to Phil for confirmation before handing to Claude Code.</w:t>
      </w:r>
    </w:p>
    <w:p>
      <w:pPr>
        <w:pStyle w:val="ListParagraph"/>
        <w:numPr>
          <w:ilvl w:val="0"/>
          <w:numId w:val="2"/>
        </w:numPr>
        <w:spacing w:after="80"/>
      </w:pPr>
      <w:r>
        <w:rPr>
          <w:sz w:val="21"/>
          <w:szCs w:val="21"/>
        </w:rPr>
        <w:t xml:space="preserve">Claude Code executes the specification and delivers complete files.</w:t>
      </w:r>
    </w:p>
    <w:p>
      <w:pPr>
        <w:pStyle w:val="ListParagraph"/>
        <w:numPr>
          <w:ilvl w:val="0"/>
          <w:numId w:val="2"/>
        </w:numPr>
        <w:spacing w:after="80"/>
      </w:pPr>
      <w:r>
        <w:rPr>
          <w:sz w:val="21"/>
          <w:szCs w:val="21"/>
        </w:rPr>
        <w:t xml:space="preserve">Ali reviews each file against standards. Accepted files are committed to git. Rejected files are returned to Claude Code with specific corrections.</w:t>
      </w:r>
    </w:p>
    <w:p>
      <w:pPr>
        <w:pStyle w:val="ListParagraph"/>
        <w:numPr>
          <w:ilvl w:val="0"/>
          <w:numId w:val="2"/>
        </w:numPr>
        <w:spacing w:after="80"/>
      </w:pPr>
      <w:r>
        <w:rPr>
          <w:sz w:val="21"/>
          <w:szCs w:val="21"/>
        </w:rPr>
        <w:t xml:space="preserve">At end of session, Phil confirms what was completed. Documents are updated if any decisions changed.</w:t>
      </w:r>
    </w:p>
    <w:p>
      <w:pPr>
        <w:spacing w:after="200"/>
      </w:pPr>
    </w:p>
    <w:p>
      <w:pPr>
        <w:pStyle w:val="Heading2"/>
      </w:pPr>
      <w:r>
        <w:t xml:space="preserve">7.3  Version control</w:t>
      </w:r>
    </w:p>
    <w:p>
      <w:pPr>
        <w:spacing w:after="140"/>
      </w:pPr>
      <w:r>
        <w:rPr>
          <w:sz w:val="22"/>
          <w:szCs w:val="22"/>
        </w:rPr>
        <w:t xml:space="preserve">Git is used for all version management. No folder copies. No zip baselines after initialisation.</w:t>
      </w:r>
    </w:p>
    <w:p>
      <w:pPr>
        <w:pStyle w:val="ListParagraph"/>
        <w:numPr>
          <w:ilvl w:val="0"/>
          <w:numId w:val="2"/>
        </w:numPr>
        <w:spacing w:after="80"/>
      </w:pPr>
      <w:r>
        <w:rPr>
          <w:sz w:val="21"/>
          <w:szCs w:val="21"/>
        </w:rPr>
        <w:t xml:space="preserve">One branch: main. Feature branches are introduced when concurrent work streams exist.</w:t>
      </w:r>
    </w:p>
    <w:p>
      <w:pPr>
        <w:pStyle w:val="ListParagraph"/>
        <w:numPr>
          <w:ilvl w:val="0"/>
          <w:numId w:val="2"/>
        </w:numPr>
        <w:spacing w:after="80"/>
      </w:pPr>
      <w:r>
        <w:rPr>
          <w:sz w:val="21"/>
          <w:szCs w:val="21"/>
        </w:rPr>
        <w:t xml:space="preserve">Commit after each accepted file or logical group of related files.</w:t>
      </w:r>
    </w:p>
    <w:p>
      <w:pPr>
        <w:pStyle w:val="ListParagraph"/>
        <w:numPr>
          <w:ilvl w:val="0"/>
          <w:numId w:val="2"/>
        </w:numPr>
        <w:spacing w:after="80"/>
      </w:pPr>
      <w:r>
        <w:rPr>
          <w:sz w:val="21"/>
          <w:szCs w:val="21"/>
        </w:rPr>
        <w:t xml:space="preserve">Commit message format: [feature] short description. Example: [header] two-panel navigation refactor</w:t>
      </w:r>
    </w:p>
    <w:p>
      <w:pPr>
        <w:pStyle w:val="ListParagraph"/>
        <w:numPr>
          <w:ilvl w:val="0"/>
          <w:numId w:val="2"/>
        </w:numPr>
        <w:spacing w:after="80"/>
      </w:pPr>
      <w:r>
        <w:rPr>
          <w:sz w:val="21"/>
          <w:szCs w:val="21"/>
        </w:rPr>
        <w:t xml:space="preserve">No force push. No amended commits after push.</w:t>
      </w:r>
    </w:p>
    <w:p>
      <w:pPr>
        <w:spacing w:after="200"/>
      </w:pPr>
    </w:p>
    <w:p>
      <w:pPr>
        <w:pStyle w:val="Heading2"/>
      </w:pPr>
      <w:r>
        <w:t xml:space="preserve">7.4  Defect management</w:t>
      </w:r>
    </w:p>
    <w:p>
      <w:pPr>
        <w:spacing w:after="140"/>
      </w:pPr>
      <w:r>
        <w:rPr>
          <w:sz w:val="22"/>
          <w:szCs w:val="22"/>
        </w:rPr>
        <w:t xml:space="preserve">Defects are recorded in docs/defects.md with the following fields: ID, description, component(s), severity (Blocker / High / Low), status (Open / In Progress / Done). Blockers stop the current sprint. High defects are addressed in the next sprint. Low defects are batched.</w:t>
      </w:r>
    </w:p>
    <w:p>
      <w:pPr>
        <w:spacing w:after="200"/>
      </w:pPr>
    </w:p>
    <w:p>
      <w:pPr>
        <w:pStyle w:val="Heading1"/>
      </w:pPr>
      <w:bookmarkStart w:name="s8" w:id="1"/>
      <w:r>
        <w:t xml:space="preserve">8.  Mantine v7 Key Differences from v6</w:t>
      </w:r>
      <w:bookmarkEnd w:id="1"/>
    </w:p>
    <w:p>
      <w:pPr>
        <w:spacing w:after="140"/>
      </w:pPr>
      <w:r>
        <w:rPr>
          <w:sz w:val="22"/>
          <w:szCs w:val="22"/>
        </w:rPr>
        <w:t xml:space="preserve">Claude Code must be aware of these differences when writing any component. v6 patterns will not work in v7.</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c>
          <w:tcPr>
            <w:tcW w:type="dxa" w:w="2400"/>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Area</w:t>
            </w:r>
          </w:p>
        </w:tc>
        <w:tc>
          <w:tcPr>
            <w:tcW w:type="dxa" w:w="2800"/>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v6 (old)</w:t>
            </w:r>
          </w:p>
        </w:tc>
        <w:tc>
          <w:tcPr>
            <w:tcW w:type="dxa" w:w="3826"/>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v7 (current)</w:t>
            </w:r>
          </w:p>
        </w:tc>
      </w:tr>
      <w:tr>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Styling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sx prop + Emotion CSS-in-JS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className + CSS Modules or style prop. sx still exists but uses CSS variables.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Grid columns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&lt;Grid.Col span={4}&gt;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&lt;Grid.Col span={4}&gt; (same, but Grid now uses CSS grid internally)</w:t>
            </w:r>
          </w:p>
        </w:tc>
      </w:tr>
      <w:tr>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Imports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import '@mantine/core/styles.css' not needed</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import '@mantine/core/styles.css' REQUIRED in main.jsx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withGlobalStyles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MantineProvider withGlobalStyles withNormalizeCSS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MantineProvider only — those props are removed</w:t>
            </w:r>
          </w:p>
        </w:tc>
      </w:tr>
      <w:tr>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Color scheme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ColorSchemeProvider wrapper needed</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MantineProvider handles it natively with defaultColorScheme prop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Notifications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@mantine/notifications separate setup</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Notifications.show() API changed — check v7 docs before using</w:t>
            </w:r>
          </w:p>
        </w:tc>
      </w:tr>
    </w:tbl>
    <w:p>
      <w:pPr>
        <w:spacing w:after="200"/>
      </w:pPr>
    </w:p>
    <w:p>
      <w:pPr>
        <w:pStyle w:val="Heading1"/>
      </w:pPr>
      <w:bookmarkStart w:name="s9" w:id="1"/>
      <w:r>
        <w:t xml:space="preserve">9.  Open Decisions</w:t>
      </w:r>
      <w:bookmarkEnd w:id="1"/>
    </w:p>
    <w:p>
      <w:pPr>
        <w:spacing w:after="140"/>
      </w:pPr>
      <w:r>
        <w:rPr>
          <w:sz w:val="22"/>
          <w:szCs w:val="22"/>
        </w:rPr>
        <w:t xml:space="preserve">The following decisions have not yet been made. They are logged here so they are not forgotten and are addressed in the appropriate session.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426"/>
      </w:tblGrid>
      <w:tr>
        <w:tc>
          <w:tcPr>
            <w:tcW w:type="dxa" w:w="400"/>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w:t>
            </w:r>
          </w:p>
        </w:tc>
        <w:tc>
          <w:tcPr>
            <w:tcW w:type="dxa" w:w="3200"/>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Decision Required</w:t>
            </w:r>
          </w:p>
        </w:tc>
        <w:tc>
          <w:tcPr>
            <w:tcW w:type="dxa" w:w="5426"/>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Context</w:t>
            </w:r>
          </w:p>
        </w:tc>
      </w:tr>
      <w:tr>
        <w:tc>
          <w:tcPr>
            <w:tcW w:type="dxa" w:w="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Location locking mechanism</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When a user selects a place and clicks Select, what exactly is stored and how does it propagate to other features? This needs a data model decision.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Theme: colours and brand</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The current green palette is inherited from the existing code. Is this the intended UKCP brand palette? Needs Phil confirmation.</w:t>
            </w:r>
          </w:p>
        </w:tc>
      </w:tr>
      <w:tr>
        <w:tc>
          <w:tcPr>
            <w:tcW w:type="dxa" w:w="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wards.csv integration</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wardid in wards.csv provides precise location identity. How does this relate to newplace.csv nameid? Are they the same dataset? Needs data review.</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Scotland / Wales / NI hierarchy</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The administrative hierarchy differs between UK nations. newplace.csv uses 'All-Scottish Regions' as a single region for Scotland. Is this the intended navigation behaviour?</w:t>
            </w:r>
          </w:p>
        </w:tc>
      </w:tr>
      <w:tr>
        <w:tc>
          <w:tcPr>
            <w:tcW w:type="dxa" w:w="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Anonymous vs signed-in UX</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Should the navigation and location selection work identically for anonymous and known users, or does registration unlock capabilities within Locations?</w:t>
            </w:r>
          </w:p>
        </w:tc>
      </w:tr>
    </w:tbl>
    <w:p>
      <w:pPr>
        <w:spacing w:after="200"/>
      </w:pPr>
    </w:p>
    <w:p>
      <w:pPr>
        <w:pBdr>
          <w:top w:val="single" w:color="4A7C29" w:sz="4" w:space="4"/>
        </w:pBdr>
        <w:spacing w:before="200"/>
      </w:pPr>
      <w:r>
        <w:rPr>
          <w:i/>
          <w:iCs/>
          <w:color w:val="777777"/>
          <w:sz w:val="18"/>
          <w:szCs w:val="18"/>
        </w:rPr>
        <w:t xml:space="preserve">UKCP Technical Specification v1.0  |  30 March 2026  |  Ali &amp; Phil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7C29" w:sz="4" w:space="1"/>
      </w:pBdr>
    </w:pPr>
    <w:r>
      <w:rPr>
        <w:color w:val="555555"/>
        <w:sz w:val="18"/>
        <w:szCs w:val="18"/>
      </w:rPr>
      <w:t xml:space="preserve">UK Citizens Portal  —  Confidential  |  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7C29" w:sz="4" w:space="1"/>
      </w:pBdr>
    </w:pPr>
    <w:r>
      <w:rPr>
        <w:color w:val="555555"/>
        <w:sz w:val="18"/>
        <w:szCs w:val="18"/>
      </w:rPr>
      <w:t xml:space="preserve">UKCP  |  Technical Specification  |  Living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E4A1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4A7C29"/>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4A1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2026-03-30T11:37:25.307Z</dcterms:created>
  <dcterms:modified xsi:type="dcterms:W3CDTF">2026-03-30T11:37:25.307Z</dcterms:modified>
</cp:coreProperties>
</file>

<file path=docProps/custom.xml><?xml version="1.0" encoding="utf-8"?>
<Properties xmlns="http://schemas.openxmlformats.org/officeDocument/2006/custom-properties" xmlns:vt="http://schemas.openxmlformats.org/officeDocument/2006/docPropsVTypes"/>
</file>