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1C78" w:rsidRDefault="0093081A">
      <w:pPr>
        <w:rPr>
          <w:sz w:val="32"/>
          <w:szCs w:val="32"/>
        </w:rPr>
      </w:pPr>
      <w:r w:rsidRPr="0093081A">
        <w:rPr>
          <w:sz w:val="32"/>
          <w:szCs w:val="32"/>
        </w:rPr>
        <w:t xml:space="preserve">3. </w:t>
      </w:r>
      <w:r w:rsidRPr="0093081A">
        <w:rPr>
          <w:sz w:val="32"/>
          <w:szCs w:val="32"/>
        </w:rPr>
        <w:t>Literature Review</w:t>
      </w:r>
      <w:r>
        <w:rPr>
          <w:sz w:val="32"/>
          <w:szCs w:val="32"/>
        </w:rPr>
        <w:t>:</w:t>
      </w:r>
    </w:p>
    <w:p w:rsidR="0093081A" w:rsidRDefault="0093081A">
      <w:pPr>
        <w:rPr>
          <w:sz w:val="32"/>
          <w:szCs w:val="32"/>
        </w:rPr>
      </w:pPr>
      <w:r>
        <w:rPr>
          <w:sz w:val="32"/>
          <w:szCs w:val="32"/>
        </w:rPr>
        <w:t>3.1. Introduction:</w:t>
      </w:r>
    </w:p>
    <w:p w:rsidR="0093081A" w:rsidRDefault="0093081A" w:rsidP="0093081A">
      <w:pPr>
        <w:pStyle w:val="isselectedend"/>
      </w:pPr>
      <w:r>
        <w:t>Supply chain risk, particularly in multi-tier global supply chains, has emerged as a critical research area due to increasing concerns around unethical labor practices such as child labour. The complexity and opacity of upstream supplier networks make it difficult to monitor and regulate such risks effectively. Existing literature highlights that risk in supply chains is not only influenced by firm-level decisions but also by macro-economic, social, and governance-related factors.</w:t>
      </w:r>
    </w:p>
    <w:p w:rsidR="0093081A" w:rsidRDefault="0093081A" w:rsidP="0093081A">
      <w:pPr>
        <w:pStyle w:val="NormalWeb"/>
      </w:pPr>
      <w:r>
        <w:t>This review examines existing data sources, economic indicators, and technological approaches such as Machine Learning and Blockchain that have been used to address supply chain risk and transparency challenges.</w:t>
      </w:r>
    </w:p>
    <w:p w:rsidR="0093081A" w:rsidRDefault="0093081A">
      <w:pPr>
        <w:rPr>
          <w:sz w:val="32"/>
          <w:szCs w:val="32"/>
        </w:rPr>
      </w:pPr>
      <w:r>
        <w:rPr>
          <w:sz w:val="32"/>
          <w:szCs w:val="32"/>
        </w:rPr>
        <w:t>3.2 Data Sources and Economic Indicators :</w:t>
      </w:r>
    </w:p>
    <w:p w:rsidR="0093081A" w:rsidRDefault="0093081A" w:rsidP="0093081A">
      <w:pPr>
        <w:pStyle w:val="NormalWeb"/>
      </w:pPr>
      <w:r>
        <w:t>A significant portion of existing research relies on publicly available macro-economic datasets to model supply chain risk indirectly.</w:t>
      </w:r>
    </w:p>
    <w:p w:rsidR="0093081A" w:rsidRDefault="0093081A" w:rsidP="0093081A">
      <w:pPr>
        <w:pStyle w:val="NormalWeb"/>
      </w:pPr>
      <w:r>
        <w:t>The Open Government Data Platform (India) provides unemployment statistics from the Periodic Labour Force Survey (PLFS), indicating economic distress and labor vulnerability.</w:t>
      </w:r>
      <w:r>
        <w:br/>
      </w:r>
      <w:r>
        <w:rPr>
          <w:rFonts w:ascii="Segoe UI Emoji" w:hAnsi="Segoe UI Emoji" w:cs="Segoe UI Emoji"/>
        </w:rPr>
        <w:t>🔗</w:t>
      </w:r>
      <w:r>
        <w:t xml:space="preserve"> </w:t>
      </w:r>
      <w:hyperlink r:id="rId5" w:history="1">
        <w:r>
          <w:rPr>
            <w:rStyle w:val="Hyperlink"/>
          </w:rPr>
          <w:t>https://data.gov.in</w:t>
        </w:r>
      </w:hyperlink>
    </w:p>
    <w:p w:rsidR="0093081A" w:rsidRDefault="0093081A" w:rsidP="0093081A">
      <w:pPr>
        <w:pStyle w:val="NormalWeb"/>
      </w:pPr>
      <w:r>
        <w:t>Inflation data from the Ministry of Statistics and Programme Implementation (MOSPI) reflects cost volatility, which can increase financial pressure on suppliers.</w:t>
      </w:r>
      <w:r>
        <w:br/>
      </w:r>
      <w:r>
        <w:rPr>
          <w:rFonts w:ascii="Segoe UI Emoji" w:hAnsi="Segoe UI Emoji" w:cs="Segoe UI Emoji"/>
        </w:rPr>
        <w:t>🔗</w:t>
      </w:r>
      <w:r>
        <w:t xml:space="preserve"> </w:t>
      </w:r>
      <w:hyperlink r:id="rId6" w:history="1">
        <w:r>
          <w:rPr>
            <w:rStyle w:val="Hyperlink"/>
          </w:rPr>
          <w:t>https://mospi.gov.in</w:t>
        </w:r>
      </w:hyperlink>
    </w:p>
    <w:p w:rsidR="0093081A" w:rsidRDefault="0093081A" w:rsidP="0093081A">
      <w:pPr>
        <w:pStyle w:val="NormalWeb"/>
      </w:pPr>
      <w:r>
        <w:t>State-level economic indicators such as Net State Domestic Product (NSDP), published by the Reserve Bank of India (RBI), measure regional economic strength and infrastructure.</w:t>
      </w:r>
      <w:r>
        <w:br/>
      </w:r>
      <w:r>
        <w:rPr>
          <w:rFonts w:ascii="Segoe UI Emoji" w:hAnsi="Segoe UI Emoji" w:cs="Segoe UI Emoji"/>
        </w:rPr>
        <w:t>🔗</w:t>
      </w:r>
      <w:r>
        <w:t xml:space="preserve"> </w:t>
      </w:r>
      <w:hyperlink r:id="rId7" w:history="1">
        <w:r>
          <w:rPr>
            <w:rStyle w:val="Hyperlink"/>
          </w:rPr>
          <w:t>https://rbi.org.in</w:t>
        </w:r>
      </w:hyperlink>
    </w:p>
    <w:p w:rsidR="0093081A" w:rsidRDefault="0093081A" w:rsidP="0093081A">
      <w:pPr>
        <w:pStyle w:val="NormalWeb"/>
      </w:pPr>
      <w:r>
        <w:t>NITI Aayog publishes SDG India Index reports, which capture state-wise performance in governance, education, and social development—key factors influencing labor conditions.</w:t>
      </w:r>
      <w:r>
        <w:br/>
      </w:r>
      <w:r>
        <w:rPr>
          <w:rFonts w:ascii="Segoe UI Emoji" w:hAnsi="Segoe UI Emoji" w:cs="Segoe UI Emoji"/>
        </w:rPr>
        <w:t>🔗</w:t>
      </w:r>
      <w:r>
        <w:t xml:space="preserve"> </w:t>
      </w:r>
      <w:hyperlink r:id="rId8" w:history="1">
        <w:r>
          <w:rPr>
            <w:rStyle w:val="Hyperlink"/>
          </w:rPr>
          <w:t>https://www.niti.gov.in</w:t>
        </w:r>
      </w:hyperlink>
    </w:p>
    <w:p w:rsidR="0093081A" w:rsidRDefault="0093081A" w:rsidP="0093081A">
      <w:pPr>
        <w:pStyle w:val="NormalWeb"/>
      </w:pPr>
      <w:r>
        <w:t>World Bank governance indicators—including political stability, rule of law, and corruption control—provide insights into institutional effectiveness and systemic risk.</w:t>
      </w:r>
      <w:r>
        <w:br/>
      </w:r>
      <w:r>
        <w:rPr>
          <w:rFonts w:ascii="Segoe UI Emoji" w:hAnsi="Segoe UI Emoji" w:cs="Segoe UI Emoji"/>
        </w:rPr>
        <w:t>🔗</w:t>
      </w:r>
      <w:r>
        <w:t xml:space="preserve"> </w:t>
      </w:r>
      <w:hyperlink r:id="rId9" w:history="1">
        <w:r>
          <w:rPr>
            <w:rStyle w:val="Hyperlink"/>
          </w:rPr>
          <w:t>https://databank.worldbank.org</w:t>
        </w:r>
      </w:hyperlink>
    </w:p>
    <w:p w:rsidR="0093081A" w:rsidRDefault="0093081A" w:rsidP="0093081A">
      <w:pPr>
        <w:pStyle w:val="NormalWeb"/>
      </w:pPr>
      <w:r>
        <w:t>The International Labour Organization (ILO) provides global data on employment conditions and labor rights, widely used in risk and compliance studies.</w:t>
      </w:r>
      <w:r>
        <w:br/>
      </w:r>
      <w:r>
        <w:rPr>
          <w:rFonts w:ascii="Segoe UI Emoji" w:hAnsi="Segoe UI Emoji" w:cs="Segoe UI Emoji"/>
        </w:rPr>
        <w:t>🔗</w:t>
      </w:r>
      <w:r>
        <w:t xml:space="preserve"> </w:t>
      </w:r>
      <w:hyperlink r:id="rId10" w:history="1">
        <w:r>
          <w:rPr>
            <w:rStyle w:val="Hyperlink"/>
          </w:rPr>
          <w:t>https://ilostat.ilo.org</w:t>
        </w:r>
      </w:hyperlink>
    </w:p>
    <w:p w:rsidR="0093081A" w:rsidRDefault="0093081A" w:rsidP="0093081A">
      <w:pPr>
        <w:rPr>
          <w:sz w:val="32"/>
          <w:szCs w:val="32"/>
        </w:rPr>
      </w:pPr>
      <w:r>
        <w:rPr>
          <w:sz w:val="32"/>
          <w:szCs w:val="32"/>
        </w:rPr>
        <w:lastRenderedPageBreak/>
        <w:t>3.</w:t>
      </w:r>
      <w:r>
        <w:rPr>
          <w:sz w:val="32"/>
          <w:szCs w:val="32"/>
        </w:rPr>
        <w:t>3</w:t>
      </w:r>
      <w:r>
        <w:rPr>
          <w:sz w:val="32"/>
          <w:szCs w:val="32"/>
        </w:rPr>
        <w:t xml:space="preserve"> </w:t>
      </w:r>
      <w:r>
        <w:rPr>
          <w:sz w:val="32"/>
          <w:szCs w:val="32"/>
        </w:rPr>
        <w:t>S</w:t>
      </w:r>
      <w:r w:rsidR="00B720DE">
        <w:rPr>
          <w:sz w:val="32"/>
          <w:szCs w:val="32"/>
        </w:rPr>
        <w:t>upply Chain Risk Factors Identified in Literature</w:t>
      </w:r>
      <w:r>
        <w:rPr>
          <w:sz w:val="32"/>
          <w:szCs w:val="32"/>
        </w:rPr>
        <w:t xml:space="preserve"> :</w:t>
      </w:r>
    </w:p>
    <w:p w:rsidR="00B720DE" w:rsidRPr="00B720DE" w:rsidRDefault="00B720DE" w:rsidP="00B720DE">
      <w:p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sz w:val="24"/>
          <w:szCs w:val="24"/>
        </w:rPr>
        <w:t>The literature consistently identifies a set of key variables that influence supply chain risk:</w:t>
      </w:r>
    </w:p>
    <w:p w:rsidR="00B720DE" w:rsidRPr="00B720DE" w:rsidRDefault="00B720DE" w:rsidP="00B72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b/>
          <w:bCs/>
          <w:sz w:val="24"/>
          <w:szCs w:val="24"/>
        </w:rPr>
        <w:t>Supply Chain Tier Depth</w:t>
      </w:r>
      <w:r w:rsidRPr="00B720DE">
        <w:rPr>
          <w:rFonts w:ascii="Times New Roman" w:eastAsia="Times New Roman" w:hAnsi="Times New Roman" w:cs="Times New Roman"/>
          <w:sz w:val="24"/>
          <w:szCs w:val="24"/>
        </w:rPr>
        <w:t>: Risk increases as we move upstream (Tier 3 and Tier 4), due to reduced visibility and weaker enforcement.</w:t>
      </w:r>
    </w:p>
    <w:p w:rsidR="00B720DE" w:rsidRPr="00B720DE" w:rsidRDefault="00B720DE" w:rsidP="00B72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b/>
          <w:bCs/>
          <w:sz w:val="24"/>
          <w:szCs w:val="24"/>
        </w:rPr>
        <w:t>Informality</w:t>
      </w:r>
      <w:r w:rsidRPr="00B720DE">
        <w:rPr>
          <w:rFonts w:ascii="Times New Roman" w:eastAsia="Times New Roman" w:hAnsi="Times New Roman" w:cs="Times New Roman"/>
          <w:sz w:val="24"/>
          <w:szCs w:val="24"/>
        </w:rPr>
        <w:t>: Informal labor environments lack regulatory oversight, increasing vulnerability to exploitation.</w:t>
      </w:r>
    </w:p>
    <w:p w:rsidR="00B720DE" w:rsidRPr="00B720DE" w:rsidRDefault="00B720DE" w:rsidP="00B72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b/>
          <w:bCs/>
          <w:sz w:val="24"/>
          <w:szCs w:val="24"/>
        </w:rPr>
        <w:t>Labour Intensity</w:t>
      </w:r>
      <w:r w:rsidRPr="00B720DE">
        <w:rPr>
          <w:rFonts w:ascii="Times New Roman" w:eastAsia="Times New Roman" w:hAnsi="Times New Roman" w:cs="Times New Roman"/>
          <w:sz w:val="24"/>
          <w:szCs w:val="24"/>
        </w:rPr>
        <w:t>: Industries requiring high manual labor are more prone to unethical practices.</w:t>
      </w:r>
    </w:p>
    <w:p w:rsidR="00B720DE" w:rsidRPr="00B720DE" w:rsidRDefault="00B720DE" w:rsidP="00B72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b/>
          <w:bCs/>
          <w:sz w:val="24"/>
          <w:szCs w:val="24"/>
        </w:rPr>
        <w:t>Visibility/Traceability</w:t>
      </w:r>
      <w:r w:rsidRPr="00B720DE">
        <w:rPr>
          <w:rFonts w:ascii="Times New Roman" w:eastAsia="Times New Roman" w:hAnsi="Times New Roman" w:cs="Times New Roman"/>
          <w:sz w:val="24"/>
          <w:szCs w:val="24"/>
        </w:rPr>
        <w:t>: Lower visibility reduces auditability and increases hidden risks.</w:t>
      </w:r>
    </w:p>
    <w:p w:rsidR="00B720DE" w:rsidRPr="00B720DE" w:rsidRDefault="00B720DE" w:rsidP="00B72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b/>
          <w:bCs/>
          <w:sz w:val="24"/>
          <w:szCs w:val="24"/>
        </w:rPr>
        <w:t>Cost Pressure</w:t>
      </w:r>
      <w:r w:rsidRPr="00B720DE">
        <w:rPr>
          <w:rFonts w:ascii="Times New Roman" w:eastAsia="Times New Roman" w:hAnsi="Times New Roman" w:cs="Times New Roman"/>
          <w:sz w:val="24"/>
          <w:szCs w:val="24"/>
        </w:rPr>
        <w:t>: Financial stress incentivizes suppliers to minimize costs, often at the expense of labor standards.</w:t>
      </w:r>
    </w:p>
    <w:p w:rsidR="00B720DE" w:rsidRPr="00B720DE" w:rsidRDefault="00B720DE" w:rsidP="00B72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b/>
          <w:bCs/>
          <w:sz w:val="24"/>
          <w:szCs w:val="24"/>
        </w:rPr>
        <w:t>Governance &amp; SDG Performance</w:t>
      </w:r>
      <w:r w:rsidRPr="00B720DE">
        <w:rPr>
          <w:rFonts w:ascii="Times New Roman" w:eastAsia="Times New Roman" w:hAnsi="Times New Roman" w:cs="Times New Roman"/>
          <w:sz w:val="24"/>
          <w:szCs w:val="24"/>
        </w:rPr>
        <w:t>: Strong governance and higher SDG scores act as protective factors.</w:t>
      </w:r>
    </w:p>
    <w:p w:rsidR="00B720DE" w:rsidRPr="00B720DE" w:rsidRDefault="00B720DE" w:rsidP="00B720DE">
      <w:p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sz w:val="24"/>
          <w:szCs w:val="24"/>
        </w:rPr>
        <w:t>Existing studies emphasize that these factors are interdependent rather than isolated, collectively shaping the overall risk landscape.</w:t>
      </w:r>
    </w:p>
    <w:p w:rsidR="00B720DE" w:rsidRDefault="00B720DE" w:rsidP="0093081A">
      <w:pPr>
        <w:rPr>
          <w:sz w:val="32"/>
          <w:szCs w:val="32"/>
        </w:rPr>
      </w:pPr>
      <w:r>
        <w:rPr>
          <w:sz w:val="32"/>
          <w:szCs w:val="32"/>
        </w:rPr>
        <w:t>3.4 Machine Learning in Supply Chain Risk:</w:t>
      </w:r>
    </w:p>
    <w:p w:rsidR="00B720DE" w:rsidRDefault="00B720DE" w:rsidP="00B720DE">
      <w:pPr>
        <w:pStyle w:val="NormalWeb"/>
      </w:pPr>
      <w:r>
        <w:t>Recent advancements in Machine Learning have enabled predictive modeling of supply chain risks using structured and semi-structured data. Classification models such as Logistic Regression, Decision Trees, Random Forest, and Gradient Boosting are commonly employed to identify high-risk suppliers.</w:t>
      </w:r>
    </w:p>
    <w:p w:rsidR="00B720DE" w:rsidRDefault="00B720DE" w:rsidP="00B720DE">
      <w:pPr>
        <w:pStyle w:val="NormalWeb"/>
      </w:pPr>
      <w:r>
        <w:t>Machine Learning offers several advantages:</w:t>
      </w:r>
    </w:p>
    <w:p w:rsidR="00B720DE" w:rsidRDefault="00B720DE" w:rsidP="00B720DE">
      <w:pPr>
        <w:pStyle w:val="NormalWeb"/>
        <w:numPr>
          <w:ilvl w:val="0"/>
          <w:numId w:val="2"/>
        </w:numPr>
      </w:pPr>
      <w:r>
        <w:t>Ability to capture complex, non-linear relationships</w:t>
      </w:r>
    </w:p>
    <w:p w:rsidR="00B720DE" w:rsidRDefault="00B720DE" w:rsidP="00B720DE">
      <w:pPr>
        <w:pStyle w:val="NormalWeb"/>
        <w:numPr>
          <w:ilvl w:val="0"/>
          <w:numId w:val="2"/>
        </w:numPr>
      </w:pPr>
      <w:r>
        <w:t>Scalability across large supplier networks</w:t>
      </w:r>
    </w:p>
    <w:p w:rsidR="00B720DE" w:rsidRDefault="00B720DE" w:rsidP="00B720DE">
      <w:pPr>
        <w:pStyle w:val="NormalWeb"/>
        <w:numPr>
          <w:ilvl w:val="0"/>
          <w:numId w:val="2"/>
        </w:numPr>
      </w:pPr>
      <w:r>
        <w:t>Reduction of human bias in risk assessment</w:t>
      </w:r>
    </w:p>
    <w:p w:rsidR="00B720DE" w:rsidRDefault="00B720DE" w:rsidP="00B720DE">
      <w:pPr>
        <w:pStyle w:val="NormalWeb"/>
      </w:pPr>
      <w:r>
        <w:t>However, existing approaches are heavily dependent on data availability. In domains such as child labour detection, reliable ground truth data is scarce due to the hidden nature of such practices. As a result, several studies rely on proxy variables or synthetic data generation techniques to simulate realistic scenarios.</w:t>
      </w:r>
    </w:p>
    <w:p w:rsidR="00B720DE" w:rsidRDefault="00B720DE" w:rsidP="0093081A">
      <w:pPr>
        <w:rPr>
          <w:sz w:val="32"/>
          <w:szCs w:val="32"/>
        </w:rPr>
      </w:pPr>
      <w:r>
        <w:rPr>
          <w:sz w:val="32"/>
          <w:szCs w:val="32"/>
        </w:rPr>
        <w:t>3.5 Blockchain for the Supply Chain Transparency:</w:t>
      </w:r>
    </w:p>
    <w:p w:rsidR="00B720DE" w:rsidRPr="00B720DE" w:rsidRDefault="00B720DE" w:rsidP="00B720DE">
      <w:p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sz w:val="24"/>
          <w:szCs w:val="24"/>
        </w:rPr>
        <w:t>Blockchain technology, particularly Distributed Ledger Technology (DLT), has been widely proposed as a solution for enhancing transparency and traceability in supply chains. Early literature positioned blockchain as a mechanism for ensuring end-to-end visibility and immutable record-keeping.</w:t>
      </w:r>
    </w:p>
    <w:p w:rsidR="00B720DE" w:rsidRPr="00B720DE" w:rsidRDefault="00B720DE" w:rsidP="00B720DE">
      <w:p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sz w:val="24"/>
          <w:szCs w:val="24"/>
        </w:rPr>
        <w:lastRenderedPageBreak/>
        <w:t>However, empirical studies highlight a critical limitation known as the "Oracle Problem." While blockchain ensures that recorded data cannot be altered, it does not guarantee the correctness of the data at the point of entry. If incorrect or manipulated data is entered, the blockchain simply preserves that inaccuracy.</w:t>
      </w:r>
    </w:p>
    <w:p w:rsidR="00B720DE" w:rsidRPr="00B720DE" w:rsidRDefault="00B720DE" w:rsidP="00B720DE">
      <w:pPr>
        <w:spacing w:before="100" w:beforeAutospacing="1" w:after="100" w:afterAutospacing="1" w:line="240" w:lineRule="auto"/>
        <w:rPr>
          <w:rFonts w:ascii="Times New Roman" w:eastAsia="Times New Roman" w:hAnsi="Times New Roman" w:cs="Times New Roman"/>
          <w:sz w:val="24"/>
          <w:szCs w:val="24"/>
        </w:rPr>
      </w:pPr>
      <w:r w:rsidRPr="00B720DE">
        <w:rPr>
          <w:rFonts w:ascii="Times New Roman" w:eastAsia="Times New Roman" w:hAnsi="Times New Roman" w:cs="Times New Roman"/>
          <w:sz w:val="24"/>
          <w:szCs w:val="24"/>
        </w:rPr>
        <w:t>To address this, recent research has shifted toward Permissioned Blockchain systems, such as Hyperledger Fabric, which restrict access and allow controlled data sharing through private channels. This approach balances transparency with confidentiality, enabling suppliers to share compliance data without exposing sensitive information.</w:t>
      </w:r>
      <w:bookmarkStart w:id="0" w:name="_GoBack"/>
      <w:bookmarkEnd w:id="0"/>
    </w:p>
    <w:p w:rsidR="0093081A" w:rsidRPr="0093081A" w:rsidRDefault="0093081A" w:rsidP="0093081A">
      <w:pPr>
        <w:pStyle w:val="NormalWeb"/>
      </w:pPr>
    </w:p>
    <w:p w:rsidR="0093081A" w:rsidRPr="0093081A" w:rsidRDefault="0093081A">
      <w:pPr>
        <w:rPr>
          <w:sz w:val="32"/>
          <w:szCs w:val="32"/>
        </w:rPr>
      </w:pPr>
    </w:p>
    <w:sectPr w:rsidR="0093081A" w:rsidRPr="00930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1F2ABF"/>
    <w:multiLevelType w:val="multilevel"/>
    <w:tmpl w:val="33E0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317358"/>
    <w:multiLevelType w:val="multilevel"/>
    <w:tmpl w:val="707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1A"/>
    <w:rsid w:val="007A59F6"/>
    <w:rsid w:val="007F04E7"/>
    <w:rsid w:val="00923D75"/>
    <w:rsid w:val="0093081A"/>
    <w:rsid w:val="00B72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9ED9"/>
  <w15:chartTrackingRefBased/>
  <w15:docId w15:val="{6C9AEBE8-35AE-4031-8C00-95D98933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93081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308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3081A"/>
    <w:rPr>
      <w:color w:val="0000FF"/>
      <w:u w:val="single"/>
    </w:rPr>
  </w:style>
  <w:style w:type="character" w:styleId="Strong">
    <w:name w:val="Strong"/>
    <w:basedOn w:val="DefaultParagraphFont"/>
    <w:uiPriority w:val="22"/>
    <w:qFormat/>
    <w:rsid w:val="00B720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369485">
      <w:bodyDiv w:val="1"/>
      <w:marLeft w:val="0"/>
      <w:marRight w:val="0"/>
      <w:marTop w:val="0"/>
      <w:marBottom w:val="0"/>
      <w:divBdr>
        <w:top w:val="none" w:sz="0" w:space="0" w:color="auto"/>
        <w:left w:val="none" w:sz="0" w:space="0" w:color="auto"/>
        <w:bottom w:val="none" w:sz="0" w:space="0" w:color="auto"/>
        <w:right w:val="none" w:sz="0" w:space="0" w:color="auto"/>
      </w:divBdr>
    </w:div>
    <w:div w:id="359672068">
      <w:bodyDiv w:val="1"/>
      <w:marLeft w:val="0"/>
      <w:marRight w:val="0"/>
      <w:marTop w:val="0"/>
      <w:marBottom w:val="0"/>
      <w:divBdr>
        <w:top w:val="none" w:sz="0" w:space="0" w:color="auto"/>
        <w:left w:val="none" w:sz="0" w:space="0" w:color="auto"/>
        <w:bottom w:val="none" w:sz="0" w:space="0" w:color="auto"/>
        <w:right w:val="none" w:sz="0" w:space="0" w:color="auto"/>
      </w:divBdr>
    </w:div>
    <w:div w:id="496193619">
      <w:bodyDiv w:val="1"/>
      <w:marLeft w:val="0"/>
      <w:marRight w:val="0"/>
      <w:marTop w:val="0"/>
      <w:marBottom w:val="0"/>
      <w:divBdr>
        <w:top w:val="none" w:sz="0" w:space="0" w:color="auto"/>
        <w:left w:val="none" w:sz="0" w:space="0" w:color="auto"/>
        <w:bottom w:val="none" w:sz="0" w:space="0" w:color="auto"/>
        <w:right w:val="none" w:sz="0" w:space="0" w:color="auto"/>
      </w:divBdr>
    </w:div>
    <w:div w:id="524637820">
      <w:bodyDiv w:val="1"/>
      <w:marLeft w:val="0"/>
      <w:marRight w:val="0"/>
      <w:marTop w:val="0"/>
      <w:marBottom w:val="0"/>
      <w:divBdr>
        <w:top w:val="none" w:sz="0" w:space="0" w:color="auto"/>
        <w:left w:val="none" w:sz="0" w:space="0" w:color="auto"/>
        <w:bottom w:val="none" w:sz="0" w:space="0" w:color="auto"/>
        <w:right w:val="none" w:sz="0" w:space="0" w:color="auto"/>
      </w:divBdr>
    </w:div>
    <w:div w:id="752776238">
      <w:bodyDiv w:val="1"/>
      <w:marLeft w:val="0"/>
      <w:marRight w:val="0"/>
      <w:marTop w:val="0"/>
      <w:marBottom w:val="0"/>
      <w:divBdr>
        <w:top w:val="none" w:sz="0" w:space="0" w:color="auto"/>
        <w:left w:val="none" w:sz="0" w:space="0" w:color="auto"/>
        <w:bottom w:val="none" w:sz="0" w:space="0" w:color="auto"/>
        <w:right w:val="none" w:sz="0" w:space="0" w:color="auto"/>
      </w:divBdr>
    </w:div>
    <w:div w:id="112226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ti.gov.in/" TargetMode="External"/><Relationship Id="rId3" Type="http://schemas.openxmlformats.org/officeDocument/2006/relationships/settings" Target="settings.xml"/><Relationship Id="rId7" Type="http://schemas.openxmlformats.org/officeDocument/2006/relationships/hyperlink" Target="https://rbi.org.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spi.gov.in/" TargetMode="External"/><Relationship Id="rId11" Type="http://schemas.openxmlformats.org/officeDocument/2006/relationships/fontTable" Target="fontTable.xml"/><Relationship Id="rId5" Type="http://schemas.openxmlformats.org/officeDocument/2006/relationships/hyperlink" Target="https://data.gov.in/" TargetMode="External"/><Relationship Id="rId10" Type="http://schemas.openxmlformats.org/officeDocument/2006/relationships/hyperlink" Target="https://ilostat.ilo.org/" TargetMode="External"/><Relationship Id="rId4" Type="http://schemas.openxmlformats.org/officeDocument/2006/relationships/webSettings" Target="webSettings.xml"/><Relationship Id="rId9" Type="http://schemas.openxmlformats.org/officeDocument/2006/relationships/hyperlink" Target="https://databank.worldban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 Kanti Dutta</dc:creator>
  <cp:keywords/>
  <dc:description/>
  <cp:lastModifiedBy>Uttam Kanti Dutta</cp:lastModifiedBy>
  <cp:revision>1</cp:revision>
  <dcterms:created xsi:type="dcterms:W3CDTF">2026-04-08T15:06:00Z</dcterms:created>
  <dcterms:modified xsi:type="dcterms:W3CDTF">2026-04-08T15:41:00Z</dcterms:modified>
</cp:coreProperties>
</file>