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BBB</w:t>
      </w:r>
      <w:r>
        <w:t xml:space="preserve"> </w:t>
      </w:r>
      <w:r>
        <w:t xml:space="preserve">in</w:t>
      </w:r>
      <w:r>
        <w:t xml:space="preserve"> </w:t>
      </w:r>
      <w:r>
        <w:t xml:space="preserve">AD</w:t>
      </w:r>
    </w:p>
    <w:p>
      <w:pPr>
        <w:pStyle w:val="Author"/>
      </w:pPr>
      <w:r>
        <w:t xml:space="preserve">Gabriel</w:t>
      </w:r>
      <w:r>
        <w:t xml:space="preserve"> </w:t>
      </w:r>
      <w:r>
        <w:t xml:space="preserve">Mateus</w:t>
      </w:r>
      <w:r>
        <w:t xml:space="preserve"> </w:t>
      </w:r>
      <w:r>
        <w:t xml:space="preserve">Bernardo</w:t>
      </w:r>
      <w:r>
        <w:t xml:space="preserve"> </w:t>
      </w:r>
      <w:r>
        <w:t xml:space="preserve">Harrington</w:t>
      </w:r>
    </w:p>
    <w:p>
      <w:pPr>
        <w:pStyle w:val="Author"/>
      </w:pPr>
      <w:r>
        <w:t xml:space="preserve">Jimena</w:t>
      </w:r>
      <w:r>
        <w:t xml:space="preserve"> </w:t>
      </w:r>
      <w:r>
        <w:t xml:space="preserve">Monzon</w:t>
      </w:r>
      <w:r>
        <w:t xml:space="preserve"> </w:t>
      </w:r>
      <w:r>
        <w:t xml:space="preserve">Sandoval</w:t>
      </w:r>
    </w:p>
    <w:p>
      <w:pPr>
        <w:pStyle w:val="Author"/>
      </w:pPr>
      <w:r>
        <w:t xml:space="preserve">Michal</w:t>
      </w:r>
      <w:r>
        <w:t xml:space="preserve"> </w:t>
      </w:r>
      <w:r>
        <w:t xml:space="preserve">Rokicki</w:t>
      </w:r>
    </w:p>
    <w:p>
      <w:pPr>
        <w:pStyle w:val="Author"/>
      </w:pPr>
      <w:r>
        <w:t xml:space="preserve">Zameel</w:t>
      </w:r>
      <w:r>
        <w:t xml:space="preserve"> </w:t>
      </w:r>
      <w:r>
        <w:t xml:space="preserve">Cader</w:t>
      </w:r>
    </w:p>
    <w:p>
      <w:pPr>
        <w:pStyle w:val="Author"/>
      </w:pPr>
      <w:r>
        <w:t xml:space="preserve">Caleb</w:t>
      </w:r>
      <w:r>
        <w:t xml:space="preserve"> </w:t>
      </w:r>
      <w:r>
        <w:t xml:space="preserve">Webber</w:t>
      </w:r>
    </w:p>
    <w:p>
      <w:pPr>
        <w:pStyle w:val="Date"/>
      </w:pPr>
      <w:r>
        <w:t xml:space="preserve">2024-07-24</w:t>
      </w:r>
    </w:p>
    <w:p>
      <w:pPr>
        <w:pStyle w:val="AbstractTitle"/>
      </w:pPr>
      <w:r>
        <w:t xml:space="preserve">Abstract</w:t>
      </w:r>
    </w:p>
    <w:p>
      <w:pPr>
        <w:pStyle w:val="Abstract"/>
      </w:pPr>
      <w:r>
        <w:t xml:space="preserve">The</w:t>
      </w:r>
      <w:r>
        <w:t xml:space="preserve"> </w:t>
      </w:r>
      <w:r>
        <w:t xml:space="preserve">blood</w:t>
      </w:r>
      <w:r>
        <w:t xml:space="preserve"> </w:t>
      </w:r>
      <w:r>
        <w:t xml:space="preserve">brain</w:t>
      </w:r>
      <w:r>
        <w:t xml:space="preserve"> </w:t>
      </w:r>
      <w:r>
        <w:t xml:space="preserve">barrier,</w:t>
      </w:r>
      <w:r>
        <w:t xml:space="preserve"> </w:t>
      </w:r>
      <w:r>
        <w:t xml:space="preserve">it’s</w:t>
      </w:r>
      <w:r>
        <w:t xml:space="preserve"> </w:t>
      </w:r>
      <w:r>
        <w:t xml:space="preserve">important,</w:t>
      </w:r>
      <w:r>
        <w:t xml:space="preserve"> </w:t>
      </w:r>
      <w:r>
        <w:t xml:space="preserve">probably</w:t>
      </w:r>
      <w:r>
        <w:t xml:space="preserve"> </w:t>
      </w:r>
      <w:r>
        <w:t xml:space="preserve">in</w:t>
      </w:r>
      <w:r>
        <w:t xml:space="preserve"> </w:t>
      </w:r>
      <w:r>
        <w:t xml:space="preserve">AD</w:t>
      </w:r>
      <w:r>
        <w:t xml:space="preserve"> </w:t>
      </w:r>
      <w:r>
        <w:t xml:space="preserve">even</w:t>
      </w:r>
    </w:p>
    <w:p>
      <w:pPr>
        <w:pStyle w:val="FirstParagraph"/>
      </w:pPr>
      <w:r>
        <w:t xml:space="preserve">Note that I’ll add a skeleton of all the sections Cell outlines</w:t>
      </w:r>
    </w:p>
    <w:bookmarkStart w:id="20" w:name="summary"/>
    <w:p>
      <w:pPr>
        <w:pStyle w:val="Heading2"/>
      </w:pPr>
      <w:r>
        <w:t xml:space="preserve">1 Summary</w:t>
      </w:r>
    </w:p>
    <w:p>
      <w:pPr>
        <w:pStyle w:val="FirstParagraph"/>
      </w:pPr>
      <w:r>
        <w:t xml:space="preserve">The neurovascular unit (NVU) is crucial for brain homeostasis and is implicated in Alzheimer’s disease (AD) pathogenesis.</w:t>
      </w:r>
      <w:r>
        <w:t xml:space="preserve"> </w:t>
      </w:r>
      <w:r>
        <w:t xml:space="preserve">We developed a method to isolate the NVU from parenchymal tissue in post-mortem human brains, achieving over 90% vascular cell enrichment.</w:t>
      </w:r>
      <w:r>
        <w:t xml:space="preserve"> </w:t>
      </w:r>
      <w:r>
        <w:t xml:space="preserve">Using single-nuclei sequencing from 40 samples (20 control and 20 AD cases), we identified risk associations with AD in pericyte and perivascular fibroblast subtypes, as well as in activated microglia.</w:t>
      </w:r>
      <w:r>
        <w:t xml:space="preserve"> </w:t>
      </w:r>
      <w:r>
        <w:t xml:space="preserve">These cells have unique risk signatures linked to amyloid, suggesting a collaborative role in AD risk.</w:t>
      </w:r>
      <w:r>
        <w:t xml:space="preserve"> </w:t>
      </w:r>
      <w:r>
        <w:t xml:space="preserve">Additionally, we discovered EndoMT cells, transitioning from endothelial to mural cells, not previously documented in vascular atlases.</w:t>
      </w:r>
      <w:r>
        <w:t xml:space="preserve"> </w:t>
      </w:r>
      <w:r>
        <w:t xml:space="preserve">This study provides a valuable resource for understanding NVU composition and dynamics in AD, highlighting potential cellular targets for therapeutic intervention and offering new insights into the cellular interactions associated with amyloid and AD risk.</w:t>
      </w:r>
    </w:p>
    <w:bookmarkEnd w:id="20"/>
    <w:bookmarkStart w:id="21" w:name="introduction"/>
    <w:p>
      <w:pPr>
        <w:pStyle w:val="Heading2"/>
      </w:pPr>
      <w:r>
        <w:t xml:space="preserve">2 Introduction</w:t>
      </w:r>
    </w:p>
    <w:p>
      <w:pPr>
        <w:numPr>
          <w:ilvl w:val="0"/>
          <w:numId w:val="1001"/>
        </w:numPr>
        <w:pStyle w:val="Compact"/>
      </w:pPr>
      <w:r>
        <w:t xml:space="preserve">Role of BBB in AD</w:t>
      </w:r>
    </w:p>
    <w:p>
      <w:pPr>
        <w:numPr>
          <w:ilvl w:val="0"/>
          <w:numId w:val="1001"/>
        </w:numPr>
        <w:pStyle w:val="Compact"/>
      </w:pPr>
      <w:r>
        <w:t xml:space="preserve">Prior vascular atlases (Yang), their methods, shortcomings and how our method addresses them</w:t>
      </w:r>
    </w:p>
    <w:bookmarkEnd w:id="21"/>
    <w:bookmarkStart w:id="41" w:name="results"/>
    <w:p>
      <w:pPr>
        <w:pStyle w:val="Heading2"/>
      </w:pPr>
      <w:r>
        <w:t xml:space="preserve">3 Results</w:t>
      </w:r>
    </w:p>
    <w:bookmarkStart w:id="26" w:name="isolating-the-neurovascular-unit"/>
    <w:p>
      <w:pPr>
        <w:pStyle w:val="Heading3"/>
      </w:pPr>
      <w:r>
        <w:t xml:space="preserve">3.1 Isolating the neurovascular unit</w:t>
      </w:r>
    </w:p>
    <w:tbl>
      <w:tblPr>
        <w:tblStyle w:val="Table"/>
        <w:tblW w:type="pct" w:w="5000"/>
        <w:tblLook w:firstRow="0" w:lastRow="0" w:firstColumn="0" w:lastColumn="0" w:noHBand="0" w:noVBand="0" w:val="0000"/>
        <w:jc w:val="start"/>
        <w:tblLayout w:type="fixed"/>
      </w:tblPr>
      <w:tblGrid>
        <w:gridCol w:w="7920"/>
      </w:tblGrid>
      <w:tr>
        <w:tc>
          <w:tcPr/>
          <w:bookmarkStart w:id="25" w:name="fig-method"/>
          <w:p>
            <w:pPr>
              <w:pStyle w:val="Compact"/>
              <w:jc w:val="center"/>
            </w:pPr>
            <w:r>
              <w:drawing>
                <wp:inline>
                  <wp:extent cx="5334000" cy="8001000"/>
                  <wp:effectExtent b="0" l="0" r="0" t="0"/>
                  <wp:docPr descr="" title="" id="23" name="Picture"/>
                  <a:graphic>
                    <a:graphicData uri="http://schemas.openxmlformats.org/drawingml/2006/picture">
                      <pic:pic>
                        <pic:nvPicPr>
                          <pic:cNvPr descr="05_figures/990_shared_figures/003_final_figures/figure1.png" id="24" name="Picture"/>
                          <pic:cNvPicPr>
                            <a:picLocks noChangeArrowheads="1" noChangeAspect="1"/>
                          </pic:cNvPicPr>
                        </pic:nvPicPr>
                        <pic:blipFill>
                          <a:blip r:embed="rId22"/>
                          <a:stretch>
                            <a:fillRect/>
                          </a:stretch>
                        </pic:blipFill>
                        <pic:spPr bwMode="auto">
                          <a:xfrm>
                            <a:off x="0" y="0"/>
                            <a:ext cx="5334000" cy="800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Neurovascular unit isolation method. (B)</w:t>
            </w:r>
          </w:p>
          <w:bookmarkEnd w:id="25"/>
        </w:tc>
      </w:tr>
    </w:tbl>
    <w:p>
      <w:pPr>
        <w:numPr>
          <w:ilvl w:val="0"/>
          <w:numId w:val="1002"/>
        </w:numPr>
        <w:pStyle w:val="Compact"/>
      </w:pPr>
      <w:r>
        <w:t xml:space="preserve">Explain isolation (or refer to pre-print if it’s ready?)</w:t>
      </w:r>
    </w:p>
    <w:p>
      <w:pPr>
        <w:numPr>
          <w:ilvl w:val="0"/>
          <w:numId w:val="1002"/>
        </w:numPr>
        <w:pStyle w:val="Compact"/>
      </w:pPr>
      <w:r>
        <w:t xml:space="preserve">The quality/purity of the enrichment</w:t>
      </w:r>
    </w:p>
    <w:p>
      <w:pPr>
        <w:numPr>
          <w:ilvl w:val="0"/>
          <w:numId w:val="1002"/>
        </w:numPr>
        <w:pStyle w:val="Compact"/>
      </w:pPr>
      <w:r>
        <w:t xml:space="preserve">The cohort details/summary?</w:t>
      </w:r>
    </w:p>
    <w:p>
      <w:pPr>
        <w:numPr>
          <w:ilvl w:val="0"/>
          <w:numId w:val="1002"/>
        </w:numPr>
        <w:pStyle w:val="Compact"/>
      </w:pPr>
      <w:r>
        <w:t xml:space="preserve">Celltype annotation?</w:t>
      </w:r>
    </w:p>
    <w:p>
      <w:pPr>
        <w:numPr>
          <w:ilvl w:val="0"/>
          <w:numId w:val="1002"/>
        </w:numPr>
        <w:pStyle w:val="Compact"/>
      </w:pPr>
      <w:r>
        <w:t xml:space="preserve">Compare method directly to Yang atlas paper</w:t>
      </w:r>
    </w:p>
    <w:bookmarkEnd w:id="26"/>
    <w:bookmarkStart w:id="31" w:name="risk-section-summary"/>
    <w:p>
      <w:pPr>
        <w:pStyle w:val="Heading3"/>
      </w:pPr>
      <w:r>
        <w:t xml:space="preserve">3.2 Risk section summary</w:t>
      </w:r>
    </w:p>
    <w:p>
      <w:pPr>
        <w:numPr>
          <w:ilvl w:val="0"/>
          <w:numId w:val="1003"/>
        </w:numPr>
        <w:pStyle w:val="Compact"/>
      </w:pPr>
      <w:r>
        <w:t xml:space="preserve">TODO:</w:t>
      </w:r>
    </w:p>
    <w:p>
      <w:pPr>
        <w:numPr>
          <w:ilvl w:val="0"/>
          <w:numId w:val="1003"/>
        </w:numPr>
        <w:pStyle w:val="Compact"/>
      </w:pPr>
      <w:r>
        <w:t xml:space="preserve">Run the level 1 celltypes through the PPI/GO/MPO analysis</w:t>
      </w:r>
    </w:p>
    <w:tbl>
      <w:tblPr>
        <w:tblStyle w:val="Table"/>
        <w:tblW w:type="pct" w:w="5000"/>
        <w:tblLook w:firstRow="0" w:lastRow="0" w:firstColumn="0" w:lastColumn="0" w:noHBand="0" w:noVBand="0" w:val="0000"/>
        <w:jc w:val="start"/>
        <w:tblLayout w:type="fixed"/>
      </w:tblPr>
      <w:tblGrid>
        <w:gridCol w:w="7920"/>
      </w:tblGrid>
      <w:tr>
        <w:tc>
          <w:tcPr/>
          <w:bookmarkStart w:id="30" w:name="fig-risk"/>
          <w:p>
            <w:pPr>
              <w:pStyle w:val="Compact"/>
              <w:jc w:val="center"/>
            </w:pPr>
            <w:r>
              <w:drawing>
                <wp:inline>
                  <wp:extent cx="5334000" cy="8001000"/>
                  <wp:effectExtent b="0" l="0" r="0" t="0"/>
                  <wp:docPr descr="" title="" id="28" name="Picture"/>
                  <a:graphic>
                    <a:graphicData uri="http://schemas.openxmlformats.org/drawingml/2006/picture">
                      <pic:pic>
                        <pic:nvPicPr>
                          <pic:cNvPr descr="05_figures/990_shared_figures/003_final_figures/figure2.png" id="29" name="Picture"/>
                          <pic:cNvPicPr>
                            <a:picLocks noChangeArrowheads="1" noChangeAspect="1"/>
                          </pic:cNvPicPr>
                        </pic:nvPicPr>
                        <pic:blipFill>
                          <a:blip r:embed="rId27"/>
                          <a:stretch>
                            <a:fillRect/>
                          </a:stretch>
                        </pic:blipFill>
                        <pic:spPr bwMode="auto">
                          <a:xfrm>
                            <a:off x="0" y="0"/>
                            <a:ext cx="5334000" cy="800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 figure legend stuff</w:t>
            </w:r>
          </w:p>
          <w:bookmarkEnd w:id="30"/>
        </w:tc>
      </w:tr>
    </w:tbl>
    <w:p>
      <w:pPr>
        <w:numPr>
          <w:ilvl w:val="0"/>
          <w:numId w:val="1004"/>
        </w:numPr>
        <w:pStyle w:val="Compact"/>
      </w:pPr>
      <w:r>
        <w:t xml:space="preserve">Analysing Alzheimer’s disease celltype-specific risk with the latest Bellenguez AD GWAS shows a significant enrichment of activated microglia, a pericyte subtype and a perivascular fibroblast subtype.</w:t>
      </w:r>
      <w:r>
        <w:t xml:space="preserve">(Bellenguez et al. 2022)</w:t>
      </w:r>
    </w:p>
    <w:p>
      <w:pPr>
        <w:numPr>
          <w:ilvl w:val="0"/>
          <w:numId w:val="1004"/>
        </w:numPr>
        <w:pStyle w:val="Compact"/>
      </w:pPr>
      <w:r>
        <w:t xml:space="preserve">The prior Kunkle GWAS and Bellenguez without the UKBioBank proxy cases (note in the case of the Bellenguez I lost over half the SNPs in the translation to dbSNP rs IDs, dunno what effect keeping them would have…) do not show the same enrichment.</w:t>
      </w:r>
      <w:r>
        <w:t xml:space="preserve">(Kunkle et al. 2019)</w:t>
      </w:r>
    </w:p>
    <w:p>
      <w:pPr>
        <w:numPr>
          <w:ilvl w:val="0"/>
          <w:numId w:val="1004"/>
        </w:numPr>
        <w:pStyle w:val="Compact"/>
      </w:pPr>
      <w:r>
        <w:t xml:space="preserve">GO terms: running GO on the sig magma genes shows amyloid pathways in all three celltypes and regulation of t-cells in microglia/perictye2</w:t>
      </w:r>
    </w:p>
    <w:bookmarkEnd w:id="31"/>
    <w:bookmarkStart w:id="32" w:name="X7415902016e3d36aeacff725970b276af9e1b06"/>
    <w:p>
      <w:pPr>
        <w:pStyle w:val="Heading3"/>
      </w:pPr>
      <w:r>
        <w:t xml:space="preserve">3.3 Identification of Risk Associations in Specific Cell Types</w:t>
      </w:r>
    </w:p>
    <w:p>
      <w:pPr>
        <w:pStyle w:val="FirstParagraph"/>
      </w:pPr>
      <w:r>
        <w:t xml:space="preserve">We sought to understand what celltype-specific AD risk associations would emerge with a fuller representation of celltypes in the brain.</w:t>
      </w:r>
      <w:r>
        <w:t xml:space="preserve"> </w:t>
      </w:r>
      <w:r>
        <w:t xml:space="preserve">Using single-nuclei sequencing data, we investigated the association of gene expression profiles in various cell types with Alzheimer’s disease (AD) risk.</w:t>
      </w:r>
      <w:r>
        <w:t xml:space="preserve"> </w:t>
      </w:r>
      <w:r>
        <w:t xml:space="preserve">Our analysis in the high-level celltypes identified significant risk associations after multiple testing correction in four celltypes: fibroblasts, pericytes, microglia and T-cells.</w:t>
      </w:r>
      <w:r>
        <w:t xml:space="preserve"> </w:t>
      </w:r>
      <w:r>
        <w:t xml:space="preserve">When looking at more details cell sub-types we identify activated microglia (microglia-A), pericyte-2, and perivascular-FB-2 being significantly associated with disease risk.</w:t>
      </w:r>
    </w:p>
    <w:bookmarkEnd w:id="32"/>
    <w:bookmarkStart w:id="39" w:name="magma-analysis"/>
    <w:p>
      <w:pPr>
        <w:pStyle w:val="Heading3"/>
      </w:pPr>
      <w:r>
        <w:t xml:space="preserve">3.4 MAGMA Analysis</w:t>
      </w:r>
    </w:p>
    <w:p>
      <w:pPr>
        <w:pStyle w:val="FirstParagraph"/>
      </w:pPr>
      <w:r>
        <w:t xml:space="preserve">To determine these associations, we employed Multi-marker Analysis of GenoMic Annotation (MAGMA) against the latest Bellenguez AD Genome-Wide Association Study (GWAS).</w:t>
      </w:r>
      <w:r>
        <w:t xml:space="preserve">(Bellenguez et al. 2022)</w:t>
      </w:r>
      <w:r>
        <w:t xml:space="preserve"> </w:t>
      </w:r>
      <w:r>
        <w:t xml:space="preserve">We subset to control samples and identified celltype-specific marker genes using</w:t>
      </w:r>
      <w:r>
        <w:t xml:space="preserve"> </w:t>
      </w:r>
      <w:r>
        <w:rPr>
          <w:rStyle w:val="VerbatimChar"/>
        </w:rPr>
        <w:t xml:space="preserve">FindAllMarkers</w:t>
      </w:r>
      <w:r>
        <w:t xml:space="preserve"> </w:t>
      </w:r>
      <w:r>
        <w:t xml:space="preserve">from the Seurat package.</w:t>
      </w:r>
      <w:r>
        <w:t xml:space="preserve">(Hao et al. 2023a)</w:t>
      </w:r>
      <w:r>
        <w:t xml:space="preserve"> </w:t>
      </w:r>
      <w:r>
        <w:t xml:space="preserve">Only genes that are detected in a minimum of 25% of cells in either of the two populations are considered and a minimum log fold change of 0.01 was used.</w:t>
      </w:r>
      <w:r>
        <w:t xml:space="preserve"> </w:t>
      </w:r>
      <w:r>
        <w:t xml:space="preserve">This function was used to apply a Wilcoxon Rank Sum test to compare each cluster against all other clusters identifying differentially expressed gene.</w:t>
      </w:r>
      <w:r>
        <w:t xml:space="preserve"> </w:t>
      </w:r>
      <w:r>
        <w:t xml:space="preserve">From this list of genes, the top ten percent of the total number of genes in the dataset which had the lowest p-values were selected as the celltype specific genes.</w:t>
      </w:r>
    </w:p>
    <w:p>
      <w:pPr>
        <w:pStyle w:val="BodyText"/>
      </w:pPr>
      <w:r>
        <w:t xml:space="preserve">Microglia-A, which play a crucial role in immune response within the brain, exhibited a pronounced association with AD risk.</w:t>
      </w:r>
      <w:r>
        <w:t xml:space="preserve"> </w:t>
      </w:r>
      <w:r>
        <w:t xml:space="preserve">pericyte-2, involved in blood-brain barrier maintenance and cerebral blood flow regulation, also showed significant associations.</w:t>
      </w:r>
      <w:r>
        <w:t xml:space="preserve"> </w:t>
      </w:r>
      <w:r>
        <w:t xml:space="preserve">Similarly, perivascular-FB-2, essential for the structural integrity of the blood-brain barrier and extracellular matrix composition, were identified as significantly associated with AD risk.</w:t>
      </w:r>
    </w:p>
    <w:bookmarkStart w:id="33" w:name="conditional-analysis"/>
    <w:p>
      <w:pPr>
        <w:pStyle w:val="Heading4"/>
      </w:pPr>
      <w:r>
        <w:t xml:space="preserve">3.4.1 Conditional Analysis</w:t>
      </w:r>
    </w:p>
    <w:p>
      <w:pPr>
        <w:pStyle w:val="FirstParagraph"/>
      </w:pPr>
      <w:r>
        <w:t xml:space="preserve">We conducted conditional analysis to assess the independence of the risk signals from each celltype.</w:t>
      </w:r>
      <w:r>
        <w:t xml:space="preserve"> </w:t>
      </w:r>
      <w:r>
        <w:t xml:space="preserve">The results showed significant enrichment for each of the three cell types even when conditioned on the other two cell types, indicating that the observed signals are unique and not confounded by the other cell types.&lt;NOTE: refer to figure panel of conditional analysis here&gt;</w:t>
      </w:r>
    </w:p>
    <w:bookmarkEnd w:id="33"/>
    <w:bookmarkStart w:id="34" w:name="gene-ontology-go-enrichment-analysis"/>
    <w:p>
      <w:pPr>
        <w:pStyle w:val="Heading4"/>
      </w:pPr>
      <w:r>
        <w:t xml:space="preserve">3.4.2 Gene Ontology (GO) Enrichment Analysis</w:t>
      </w:r>
    </w:p>
    <w:p>
      <w:pPr>
        <w:pStyle w:val="FirstParagraph"/>
      </w:pPr>
      <w:r>
        <w:t xml:space="preserve">To further understand the biological implications of these associations, we performed Gene Ontology (GO) enrichment analysis on the significant genes identified by MAGMA for each of the aforementioned cell types.</w:t>
      </w:r>
      <w:r>
        <w:t xml:space="preserve"> </w:t>
      </w:r>
      <w:r>
        <w:t xml:space="preserve">The GO analysis revealed several enriched pathways, prominently featuring several amyloid-related processes.</w:t>
      </w:r>
      <w:r>
        <w:t xml:space="preserve"> </w:t>
      </w:r>
      <w:r>
        <w:t xml:space="preserve">The enrichment of genes involved in amyloid precursor protein (APP) processing, amyloid-beta (Aβ) formation, and amyloid plaque clearance was particularly notable.</w:t>
      </w:r>
      <w:r>
        <w:t xml:space="preserve"> </w:t>
      </w:r>
      <w:r>
        <w:t xml:space="preserve">This finding aligns with the well-established role of amyloid pathology in AD.</w:t>
      </w:r>
      <w:r>
        <w:t xml:space="preserve"> </w:t>
      </w:r>
      <w:r>
        <w:t xml:space="preserve">Additionally, for microglia-A and pericyte-2 cell types, significant GO terms related to T-cell and lymphocyte regulation were identified, suggesting an immune regulatory component in AD risk, especially given the significant risk association of T-cells in the level 1 analysis.</w:t>
      </w:r>
    </w:p>
    <w:bookmarkEnd w:id="34"/>
    <w:bookmarkStart w:id="35" w:name="protein-protein-interaction-ppi-networks"/>
    <w:p>
      <w:pPr>
        <w:pStyle w:val="Heading4"/>
      </w:pPr>
      <w:r>
        <w:t xml:space="preserve">3.4.3 Protein-Protein Interaction (PPI) Networks</w:t>
      </w:r>
    </w:p>
    <w:p>
      <w:pPr>
        <w:pStyle w:val="FirstParagraph"/>
      </w:pPr>
      <w:r>
        <w:t xml:space="preserve">We constructed protein-protein interaction networks for the significant genes identified in each cell type.</w:t>
      </w:r>
      <w:r>
        <w:t xml:space="preserve"> </w:t>
      </w:r>
      <w:r>
        <w:t xml:space="preserve">The PPI networks all had significantly more interacting proteins then one would expect by change.</w:t>
      </w:r>
      <w:r>
        <w:t xml:space="preserve"> </w:t>
      </w:r>
      <w:r>
        <w:t xml:space="preserve">Subsequent Louvain clustering of these networks revealed modules associated with amyloid-related processes (via GO enrichment analysis) across all three cell types.</w:t>
      </w:r>
      <w:r>
        <w:t xml:space="preserve"> </w:t>
      </w:r>
      <w:r>
        <w:t xml:space="preserve">This suggests a coordinated risk association involving amyloid processing among microglia-A, pericyte-2, and perivascular-FB-2.</w:t>
      </w:r>
    </w:p>
    <w:bookmarkEnd w:id="35"/>
    <w:bookmarkStart w:id="36" w:name="mouse-ontology-data-analysis"/>
    <w:p>
      <w:pPr>
        <w:pStyle w:val="Heading4"/>
      </w:pPr>
      <w:r>
        <w:t xml:space="preserve">3.4.4 Mouse Ontology Data Analysis</w:t>
      </w:r>
    </w:p>
    <w:p>
      <w:pPr>
        <w:pStyle w:val="FirstParagraph"/>
      </w:pPr>
      <w:r>
        <w:t xml:space="preserve">To further validate our findings, we used mouse ontology data to investigate the functional implications of the significant genes.</w:t>
      </w:r>
      <w:r>
        <w:t xml:space="preserve"> </w:t>
      </w:r>
      <w:r>
        <w:t xml:space="preserve">We subset the database to terms with more than 10 and less than 200 genes and look for more overlap in a term than we would expect by chance.</w:t>
      </w:r>
      <w:r>
        <w:t xml:space="preserve"> </w:t>
      </w:r>
      <w:r>
        <w:t xml:space="preserve">For microglia-A, significant associations were found with the abnormal cell chemotaxis and hematoma terms.</w:t>
      </w:r>
      <w:r>
        <w:t xml:space="preserve"> </w:t>
      </w:r>
      <w:r>
        <w:t xml:space="preserve">Pericyte-2 showed significant associations with amyloidosis and tau protein deposits.</w:t>
      </w:r>
      <w:r>
        <w:t xml:space="preserve"> </w:t>
      </w:r>
      <w:r>
        <w:t xml:space="preserve">However, no significant associations were identified for perivascular-FB-2.</w:t>
      </w:r>
    </w:p>
    <w:bookmarkEnd w:id="36"/>
    <w:bookmarkStart w:id="37" w:name="cell-cell-communication"/>
    <w:p>
      <w:pPr>
        <w:pStyle w:val="Heading4"/>
      </w:pPr>
      <w:r>
        <w:t xml:space="preserve">3.4.5 Cell-cell communication</w:t>
      </w:r>
    </w:p>
    <w:p>
      <w:pPr>
        <w:pStyle w:val="FirstParagraph"/>
      </w:pPr>
      <w:r>
        <w:t xml:space="preserve">To investigate the communication between these three celltypes we utilised</w:t>
      </w:r>
      <w:r>
        <w:t xml:space="preserve"> </w:t>
      </w:r>
      <w:r>
        <w:rPr>
          <w:rStyle w:val="VerbatimChar"/>
        </w:rPr>
        <w:t xml:space="preserve">CellChat</w:t>
      </w:r>
      <w:r>
        <w:t xml:space="preserve"> </w:t>
      </w:r>
      <w:r>
        <w:t xml:space="preserve">and compared cases and controls.</w:t>
      </w:r>
      <w:r>
        <w:t xml:space="preserve">(Jin 2024)</w:t>
      </w:r>
      <w:r>
        <w:t xml:space="preserve"> </w:t>
      </w:r>
      <w:r>
        <w:t xml:space="preserve">We find communication in pericyte-2 and microglia-A via Transforming Growth Factor</w:t>
      </w:r>
      <w:r>
        <w:t xml:space="preserve"> </w:t>
      </w:r>
      <m:oMath>
        <m:r>
          <m:t>β</m:t>
        </m:r>
      </m:oMath>
      <w:r>
        <w:t xml:space="preserve"> </w:t>
      </w:r>
      <w:r>
        <w:t xml:space="preserve">1 (TGF$</w:t>
      </w:r>
      <m:oMath>
        <m:r>
          <m:t>1</m:t>
        </m:r>
        <m:r>
          <m:rPr>
            <m:sty m:val="p"/>
          </m:rPr>
          <m:t>)</m:t>
        </m:r>
        <m:r>
          <m:t>a</m:t>
        </m:r>
        <m:r>
          <m:t>s</m:t>
        </m:r>
        <m:r>
          <m:t>a</m:t>
        </m:r>
        <m:r>
          <m:t>l</m:t>
        </m:r>
        <m:r>
          <m:t>i</m:t>
        </m:r>
        <m:r>
          <m:t>g</m:t>
        </m:r>
        <m:r>
          <m:t>a</m:t>
        </m:r>
        <m:r>
          <m:t>n</m:t>
        </m:r>
        <m:r>
          <m:t>d</m:t>
        </m:r>
        <m:r>
          <m:t>i</m:t>
        </m:r>
        <m:r>
          <m:t>n</m:t>
        </m:r>
        <m:r>
          <m:t>p</m:t>
        </m:r>
        <m:r>
          <m:t>e</m:t>
        </m:r>
        <m:r>
          <m:t>r</m:t>
        </m:r>
        <m:r>
          <m:t>i</m:t>
        </m:r>
        <m:r>
          <m:t>c</m:t>
        </m:r>
        <m:r>
          <m:t>y</m:t>
        </m:r>
        <m:r>
          <m:t>t</m:t>
        </m:r>
        <m:r>
          <m:t>e</m:t>
        </m:r>
        <m:r>
          <m:rPr>
            <m:sty m:val="p"/>
          </m:rPr>
          <m:t>−</m:t>
        </m:r>
        <m:r>
          <m:t>2</m:t>
        </m:r>
        <m:r>
          <m:t>t</m:t>
        </m:r>
        <m:r>
          <m:t>o</m:t>
        </m:r>
        <m:r>
          <m:t>T</m:t>
        </m:r>
        <m:r>
          <m:t>G</m:t>
        </m:r>
        <m:r>
          <m:t>F</m:t>
        </m:r>
      </m:oMath>
      <w:r>
        <w:t xml:space="preserve">$ Receptor (TGF</w:t>
      </w:r>
      <m:oMath>
        <m:r>
          <m:t>β</m:t>
        </m:r>
      </m:oMath>
      <w:r>
        <w:t xml:space="preserve">R) 1/2 and Activin A Receptor Type 1 (ACVR1) in microglia-A for cases but not controls, suggesting more activation of microglia by pericytes.&lt;NOTE: refs needed&gt;</w:t>
      </w:r>
    </w:p>
    <w:p>
      <w:pPr>
        <w:numPr>
          <w:ilvl w:val="0"/>
          <w:numId w:val="1005"/>
        </w:numPr>
        <w:pStyle w:val="Compact"/>
      </w:pPr>
      <w:r>
        <w:t xml:space="preserve">NOTES on cellchat ligand receptor pairs:</w:t>
      </w:r>
    </w:p>
    <w:p>
      <w:pPr>
        <w:numPr>
          <w:ilvl w:val="0"/>
          <w:numId w:val="1005"/>
        </w:numPr>
        <w:pStyle w:val="Compact"/>
      </w:pPr>
      <w:r>
        <w:t xml:space="preserve">Pericyte-2 -&gt; Microglia-A (all in cases but not controls):</w:t>
      </w:r>
      <w:r>
        <w:t xml:space="preserve"> </w:t>
      </w:r>
      <w:r>
        <w:t xml:space="preserve">- PTN (Pleiotrophin) -&gt; NCL (Nucleolin) - roles in neuroprotection, neuronal growth and repair - modulating microglia survival/activation?</w:t>
      </w:r>
      <w:r>
        <w:t xml:space="preserve"> </w:t>
      </w:r>
      <w:r>
        <w:t xml:space="preserve">- IL34 -&gt; CSF1R (Colony Stimulating Factor 1 receptor) - similarly likely activating microglia more</w:t>
      </w:r>
      <w:r>
        <w:t xml:space="preserve"> </w:t>
      </w:r>
      <w:r>
        <w:t xml:space="preserve">- BMP6 (Bone morphogenetic protein 6) -&gt; BMPR1A/BMPR2/ACVR1 - again development/activation</w:t>
      </w:r>
    </w:p>
    <w:p>
      <w:pPr>
        <w:numPr>
          <w:ilvl w:val="0"/>
          <w:numId w:val="1005"/>
        </w:numPr>
        <w:pStyle w:val="Compact"/>
      </w:pPr>
      <w:r>
        <w:t xml:space="preserve">Microglia-A -&gt; Pericyte-2 (most present in both case and control)</w:t>
      </w:r>
      <w:r>
        <w:t xml:space="preserve"> </w:t>
      </w:r>
      <w:r>
        <w:t xml:space="preserve">- WNT5A -&gt; MCAM</w:t>
      </w:r>
      <w:r>
        <w:t xml:space="preserve"> </w:t>
      </w:r>
      <w:r>
        <w:t xml:space="preserve">- TGFB1 -&gt; TGFRB1/2 + ACVR1 (</w:t>
      </w:r>
      <w:r>
        <w:rPr>
          <w:bCs/>
          <w:b/>
        </w:rPr>
        <w:t xml:space="preserve">cases only</w:t>
      </w:r>
      <w:r>
        <w:t xml:space="preserve">)</w:t>
      </w:r>
      <w:r>
        <w:t xml:space="preserve"> </w:t>
      </w:r>
      <w:r>
        <w:t xml:space="preserve">- SPP1 -&gt; CD44 + ITGAV + ITGB5 + ITGB1</w:t>
      </w:r>
      <w:r>
        <w:t xml:space="preserve"> </w:t>
      </w:r>
      <w:r>
        <w:t xml:space="preserve">- PDGFB -&gt; PDGFRB</w:t>
      </w:r>
      <w:r>
        <w:t xml:space="preserve"> </w:t>
      </w:r>
      <w:r>
        <w:t xml:space="preserve">-</w:t>
      </w:r>
    </w:p>
    <w:bookmarkEnd w:id="37"/>
    <w:bookmarkStart w:id="38" w:name="interpretation"/>
    <w:p>
      <w:pPr>
        <w:pStyle w:val="Heading4"/>
      </w:pPr>
      <w:r>
        <w:t xml:space="preserve">3.4.6 Interpretation</w:t>
      </w:r>
    </w:p>
    <w:p>
      <w:pPr>
        <w:pStyle w:val="FirstParagraph"/>
      </w:pPr>
      <w:r>
        <w:t xml:space="preserve">The identification of these specific cell types and the enrichment of amyloid-related processes underscore the complex interplay between various cellular components in the brain and AD pathology.</w:t>
      </w:r>
      <w:r>
        <w:t xml:space="preserve"> </w:t>
      </w:r>
      <w:r>
        <w:t xml:space="preserve">Microglia-A, pericyte-2, and perivascular-FB-2 may contribute to disease mechanisms through their roles in immune response, vascular integrity, and amyloid processing, respectively.</w:t>
      </w:r>
      <w:r>
        <w:t xml:space="preserve"> </w:t>
      </w:r>
      <w:r>
        <w:t xml:space="preserve">The independence of these signals, as shown by conditional analysis, highlights the unique contributions of each cell type.</w:t>
      </w:r>
      <w:r>
        <w:t xml:space="preserve"> </w:t>
      </w:r>
      <w:r>
        <w:t xml:space="preserve">Additionally, the PPI network analysis suggests a coordinated risk association involving amyloid-related processes across these cell types.</w:t>
      </w:r>
      <w:r>
        <w:t xml:space="preserve"> </w:t>
      </w:r>
      <w:r>
        <w:t xml:space="preserve">Mouse ontology data further supports these findings, particularly highlighting the roles of microglia-A and pericyte-2 cells in AD-related pathologies.</w:t>
      </w:r>
    </w:p>
    <w:p>
      <w:pPr>
        <w:pStyle w:val="BodyText"/>
      </w:pPr>
      <w:r>
        <w:t xml:space="preserve">These findings provide new insights into potential cellular targets for therapeutic intervention in Alzheimer’s disease.</w:t>
      </w:r>
    </w:p>
    <w:bookmarkEnd w:id="38"/>
    <w:bookmarkEnd w:id="39"/>
    <w:bookmarkStart w:id="40" w:name="degs"/>
    <w:p>
      <w:pPr>
        <w:pStyle w:val="Heading3"/>
      </w:pPr>
      <w:r>
        <w:t xml:space="preserve">3.5 DEGs</w:t>
      </w:r>
    </w:p>
    <w:p>
      <w:pPr>
        <w:numPr>
          <w:ilvl w:val="0"/>
          <w:numId w:val="1006"/>
        </w:numPr>
        <w:pStyle w:val="Compact"/>
      </w:pPr>
      <w:r>
        <w:t xml:space="preserve">ex-neuron 5 - interesting DEGs and sig proportion difference</w:t>
      </w:r>
    </w:p>
    <w:bookmarkEnd w:id="40"/>
    <w:bookmarkEnd w:id="41"/>
    <w:bookmarkStart w:id="42" w:name="discussion"/>
    <w:p>
      <w:pPr>
        <w:pStyle w:val="Heading2"/>
      </w:pPr>
      <w:r>
        <w:t xml:space="preserve">4 Discussion</w:t>
      </w:r>
    </w:p>
    <w:bookmarkEnd w:id="42"/>
    <w:bookmarkStart w:id="43" w:name="acknowledgments"/>
    <w:p>
      <w:pPr>
        <w:pStyle w:val="Heading2"/>
      </w:pPr>
      <w:r>
        <w:t xml:space="preserve">5 Acknowledgments</w:t>
      </w:r>
    </w:p>
    <w:bookmarkEnd w:id="43"/>
    <w:bookmarkStart w:id="44" w:name="author-contributions"/>
    <w:p>
      <w:pPr>
        <w:pStyle w:val="Heading2"/>
      </w:pPr>
      <w:r>
        <w:t xml:space="preserve">6 Author contributions</w:t>
      </w:r>
    </w:p>
    <w:bookmarkEnd w:id="44"/>
    <w:bookmarkStart w:id="45" w:name="declaration-of-interests"/>
    <w:p>
      <w:pPr>
        <w:pStyle w:val="Heading2"/>
      </w:pPr>
      <w:r>
        <w:t xml:space="preserve">7 Declaration of interests</w:t>
      </w:r>
    </w:p>
    <w:bookmarkEnd w:id="45"/>
    <w:bookmarkStart w:id="46" w:name="figure-titles-and-legends"/>
    <w:p>
      <w:pPr>
        <w:pStyle w:val="Heading2"/>
      </w:pPr>
      <w:r>
        <w:t xml:space="preserve">8 Figure titles and legends</w:t>
      </w:r>
    </w:p>
    <w:bookmarkEnd w:id="46"/>
    <w:bookmarkStart w:id="47" w:name="tables-with-title-and-legends"/>
    <w:p>
      <w:pPr>
        <w:pStyle w:val="Heading2"/>
      </w:pPr>
      <w:r>
        <w:t xml:space="preserve">9 Tables with title and legends</w:t>
      </w:r>
    </w:p>
    <w:bookmarkEnd w:id="47"/>
    <w:bookmarkStart w:id="65" w:name="star-methods"/>
    <w:p>
      <w:pPr>
        <w:pStyle w:val="Heading2"/>
      </w:pPr>
      <w:r>
        <w:t xml:space="preserve">10 STAR Methods</w:t>
      </w:r>
    </w:p>
    <w:p>
      <w:pPr>
        <w:pStyle w:val="FirstParagraph"/>
      </w:pPr>
      <w:r>
        <w:t xml:space="preserve">Link to info on this here:</w:t>
      </w:r>
      <w:r>
        <w:t xml:space="preserve"> </w:t>
      </w:r>
      <w:hyperlink r:id="rId48">
        <w:r>
          <w:rPr>
            <w:rStyle w:val="Hyperlink"/>
          </w:rPr>
          <w:t xml:space="preserve">https://www.cell.com/star-authors-guide</w:t>
        </w:r>
      </w:hyperlink>
    </w:p>
    <w:p>
      <w:pPr>
        <w:pStyle w:val="BodyText"/>
      </w:pPr>
      <w:r>
        <w:t xml:space="preserve">And a pdf guide</w:t>
      </w:r>
      <w:r>
        <w:t xml:space="preserve"> </w:t>
      </w:r>
      <w:hyperlink r:id="rId49">
        <w:r>
          <w:rPr>
            <w:rStyle w:val="Hyperlink"/>
          </w:rPr>
          <w:t xml:space="preserve">here</w:t>
        </w:r>
      </w:hyperlink>
    </w:p>
    <w:p>
      <w:pPr>
        <w:numPr>
          <w:ilvl w:val="0"/>
          <w:numId w:val="1007"/>
        </w:numPr>
        <w:pStyle w:val="Compact"/>
      </w:pPr>
      <w:r>
        <w:t xml:space="preserve">Plan to make the code available on GitHub and make a docker image with the R environment for all the downstream processing - The seurat object from scflow could be included in this image - This could go on ADDI as well?</w:t>
      </w:r>
    </w:p>
    <w:p>
      <w:pPr>
        <w:numPr>
          <w:ilvl w:val="0"/>
          <w:numId w:val="1007"/>
        </w:numPr>
        <w:pStyle w:val="Compact"/>
      </w:pPr>
      <w:r>
        <w:t xml:space="preserve">Raw data will go on GEO I guess</w:t>
      </w:r>
    </w:p>
    <w:bookmarkStart w:id="51" w:name="key-resoures-table"/>
    <w:p>
      <w:pPr>
        <w:pStyle w:val="Heading3"/>
      </w:pPr>
      <w:r>
        <w:t xml:space="preserve">10.1 Key resoures table</w:t>
      </w:r>
    </w:p>
    <w:tbl>
      <w:tblPr>
        <w:tblStyle w:val="Table"/>
        <w:tblW w:type="pct" w:w="5000"/>
        <w:tblLook w:firstRow="0" w:lastRow="0" w:firstColumn="0" w:lastColumn="0" w:noHBand="0" w:noVBand="0" w:val="0000"/>
        <w:jc w:val="start"/>
        <w:tblLayout w:type="fixed"/>
      </w:tblPr>
      <w:tblGrid>
        <w:gridCol w:w="7920"/>
      </w:tblGrid>
      <w:tr>
        <w:tc>
          <w:tcPr/>
          <w:bookmarkStart w:id="50" w:name="tbl-key-resources"/>
          <w:p>
            <w:pPr>
              <w:jc w:val="center"/>
            </w:pPr>
            <w:pPr>
              <w:jc w:val="start"/>
              <w:spacing w:before="200"/>
              <w:pStyle w:val="ImageCaption"/>
            </w:pPr>
            <w:r>
              <w:t xml:space="preserve">Table 1: Key resources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group</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REAGENT or RESOURCE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SOURCE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IDENTIFIER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Critical commercial assays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10X Genomics Chromium Single Cell 3' Reagent Kits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10X Genomics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Deposited data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Raw and analysed data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paper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and algorithms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Cellranger v7.1.0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10X Genomics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https://www.10xgenomics.com/software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and algorithms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Nextflow v23.04.1.5866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https://doi.org/10.1038/nbt.3820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https://www.nextflow.io/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and algorithms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scFow pipeline v0.7.2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https://doi.org/10.22541/au.162912533.38489960/v1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https://github.com/combiz/nf-core-scflow/tree/dev-nf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and algorithms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 v4.4.1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 Foundation for Statistical Computing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https://www.R-project.org/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and algorithms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 v5.1.0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https://doi.org/10.1038/s41587-023-01767-y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and algorithms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 analysis code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paper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doi for code goes here</w:t>
                  </w:r>
                </w:p>
              </w:tc>
            </w:tr>
          </w:tbl>
          <w:bookmarkEnd w:id="50"/>
        </w:tc>
      </w:tr>
    </w:tbl>
    <w:bookmarkEnd w:id="51"/>
    <w:bookmarkStart w:id="55" w:name="resource-availability"/>
    <w:p>
      <w:pPr>
        <w:pStyle w:val="Heading3"/>
      </w:pPr>
      <w:r>
        <w:t xml:space="preserve">10.2 Resource availability</w:t>
      </w:r>
    </w:p>
    <w:bookmarkStart w:id="52" w:name="lead-contact"/>
    <w:p>
      <w:pPr>
        <w:pStyle w:val="Heading4"/>
      </w:pPr>
      <w:r>
        <w:t xml:space="preserve">10.2.1 Lead contact</w:t>
      </w:r>
    </w:p>
    <w:p>
      <w:pPr>
        <w:pStyle w:val="FirstParagraph"/>
      </w:pPr>
      <w:r>
        <w:t xml:space="preserve">Further information and requests for resources and reagents should be directed to and will be fulfilled by the lead contact,</w:t>
      </w:r>
      <w:r>
        <w:t xml:space="preserve"> </w:t>
      </w:r>
      <w:r>
        <w:rPr>
          <w:rStyle w:val="VerbatimChar"/>
        </w:rPr>
        <w:t xml:space="preserve">name here</w:t>
      </w:r>
      <w:r>
        <w:t xml:space="preserve"> </w:t>
      </w:r>
      <w:r>
        <w:t xml:space="preserve">(</w:t>
      </w:r>
      <w:r>
        <w:rPr>
          <w:rStyle w:val="VerbatimChar"/>
        </w:rPr>
        <w:t xml:space="preserve">email here</w:t>
      </w:r>
      <w:r>
        <w:t xml:space="preserve">).</w:t>
      </w:r>
    </w:p>
    <w:bookmarkEnd w:id="52"/>
    <w:bookmarkStart w:id="53" w:name="materials-availability"/>
    <w:p>
      <w:pPr>
        <w:pStyle w:val="Heading4"/>
      </w:pPr>
      <w:r>
        <w:t xml:space="preserve">10.2.2 Materials availability</w:t>
      </w:r>
    </w:p>
    <w:p>
      <w:pPr>
        <w:pStyle w:val="FirstParagraph"/>
      </w:pPr>
      <w:r>
        <w:t xml:space="preserve">No unique reagents were generated for this study.</w:t>
      </w:r>
    </w:p>
    <w:bookmarkEnd w:id="53"/>
    <w:bookmarkStart w:id="54" w:name="data-and-code-availability"/>
    <w:p>
      <w:pPr>
        <w:pStyle w:val="Heading4"/>
      </w:pPr>
      <w:r>
        <w:t xml:space="preserve">10.2.3 Data and code availability</w:t>
      </w:r>
    </w:p>
    <w:p>
      <w:pPr>
        <w:numPr>
          <w:ilvl w:val="0"/>
          <w:numId w:val="1008"/>
        </w:numPr>
        <w:pStyle w:val="Compact"/>
      </w:pPr>
      <w:r>
        <w:t xml:space="preserve">All raw data are available in the GEO database under the accession number GEO:</w:t>
      </w:r>
    </w:p>
    <w:p>
      <w:pPr>
        <w:numPr>
          <w:ilvl w:val="0"/>
          <w:numId w:val="1008"/>
        </w:numPr>
        <w:pStyle w:val="Compact"/>
      </w:pPr>
      <w:r>
        <w:t xml:space="preserve">The Seurat object generated from the scFlow pipeline is included in the Docker image with the R environment used for analysis here:</w:t>
      </w:r>
    </w:p>
    <w:p>
      <w:pPr>
        <w:numPr>
          <w:ilvl w:val="0"/>
          <w:numId w:val="1008"/>
        </w:numPr>
        <w:pStyle w:val="Compact"/>
      </w:pPr>
      <w:r>
        <w:t xml:space="preserve">All original code has been deposited at Zenodo and is publicly available as of the date of publication. DOIs are listed in the key resources table.</w:t>
      </w:r>
    </w:p>
    <w:bookmarkEnd w:id="54"/>
    <w:bookmarkEnd w:id="55"/>
    <w:bookmarkStart w:id="57" w:name="Xb23b8909a4f71809c0a8047e9a0c534382e34b3"/>
    <w:p>
      <w:pPr>
        <w:pStyle w:val="Heading3"/>
      </w:pPr>
      <w:r>
        <w:t xml:space="preserve">10.3 Experimental model and study participant details</w:t>
      </w:r>
    </w:p>
    <w:bookmarkStart w:id="56" w:name="post-mortem-tissue-donors"/>
    <w:p>
      <w:pPr>
        <w:pStyle w:val="Heading4"/>
      </w:pPr>
      <w:r>
        <w:t xml:space="preserve">10.3.1 Post-mortem tissue donors</w:t>
      </w:r>
    </w:p>
    <w:p>
      <w:pPr>
        <w:pStyle w:val="FirstParagraph"/>
      </w:pPr>
      <w:r>
        <w:t xml:space="preserve">Post-mortem pre-frontal cortex from 20 controls and 20 AD brain donors were collected from</w:t>
      </w:r>
      <w:r>
        <w:t xml:space="preserve"> </w:t>
      </w:r>
      <w:r>
        <w:rPr>
          <w:rStyle w:val="VerbatimChar"/>
        </w:rPr>
        <w:t xml:space="preserve">brain bank here</w:t>
      </w:r>
      <w:r>
        <w:t xml:space="preserve"> </w:t>
      </w:r>
      <w:r>
        <w:t xml:space="preserve">under</w:t>
      </w:r>
      <w:r>
        <w:t xml:space="preserve"> </w:t>
      </w:r>
      <w:r>
        <w:rPr>
          <w:rStyle w:val="VerbatimChar"/>
        </w:rPr>
        <w:t xml:space="preserve">ethics details here</w:t>
      </w:r>
      <w:r>
        <w:t xml:space="preserve">.</w:t>
      </w:r>
      <w:r>
        <w:t xml:space="preserve"> </w:t>
      </w:r>
      <w:r>
        <w:t xml:space="preserve">The clinicopathological parameters were collected and summarized in</w:t>
      </w:r>
      <w:r>
        <w:t xml:space="preserve"> </w:t>
      </w:r>
      <w:hyperlink w:anchor="tbl-donor-metadata">
        <w:r>
          <w:rPr>
            <w:rStyle w:val="Hyperlink"/>
          </w:rPr>
          <w:t xml:space="preserve">Table 2</w:t>
        </w:r>
      </w:hyperlink>
      <w:r>
        <w:t xml:space="preserve">, including gender, age, diagnosis, APOE status, ethnicity and Braak stage.</w:t>
      </w:r>
      <w:r>
        <w:t xml:space="preserve"> </w:t>
      </w:r>
      <w:r>
        <w:t xml:space="preserve">3 donors where excluded in QC and of the remaining 37 donors, 23 were female and 14 were male with a median age of 87 (range 48-101).</w:t>
      </w:r>
      <w:r>
        <w:t xml:space="preserve"> </w:t>
      </w:r>
      <w:r>
        <w:t xml:space="preserve">Sex and age were included as a covariates in pseudobulk differential gene expression analysis.</w:t>
      </w:r>
    </w:p>
    <w:bookmarkEnd w:id="56"/>
    <w:bookmarkEnd w:id="57"/>
    <w:bookmarkStart w:id="60" w:name="method-details"/>
    <w:p>
      <w:pPr>
        <w:pStyle w:val="Heading3"/>
      </w:pPr>
      <w:r>
        <w:t xml:space="preserve">10.4 Method details</w:t>
      </w:r>
    </w:p>
    <w:bookmarkStart w:id="58" w:name="sample-prepneurovascular-unit-isolation"/>
    <w:p>
      <w:pPr>
        <w:pStyle w:val="Heading4"/>
      </w:pPr>
      <w:r>
        <w:t xml:space="preserve">10.4.1 Sample prep/neurovascular unit isolation</w:t>
      </w:r>
    </w:p>
    <w:bookmarkEnd w:id="58"/>
    <w:bookmarkStart w:id="59" w:name="rna-sequencing"/>
    <w:p>
      <w:pPr>
        <w:pStyle w:val="Heading4"/>
      </w:pPr>
      <w:r>
        <w:t xml:space="preserve">10.4.2 RNA sequencing</w:t>
      </w:r>
    </w:p>
    <w:bookmarkEnd w:id="59"/>
    <w:bookmarkEnd w:id="60"/>
    <w:bookmarkStart w:id="64" w:name="quantification-and-statistical-analysis"/>
    <w:p>
      <w:pPr>
        <w:pStyle w:val="Heading3"/>
      </w:pPr>
      <w:r>
        <w:t xml:space="preserve">10.5 Quantification and statistical analysis</w:t>
      </w:r>
    </w:p>
    <w:bookmarkStart w:id="61" w:name="data-processing"/>
    <w:p>
      <w:pPr>
        <w:pStyle w:val="Heading4"/>
      </w:pPr>
      <w:r>
        <w:t xml:space="preserve">10.5.1 Data Processing</w:t>
      </w:r>
    </w:p>
    <w:p>
      <w:pPr>
        <w:pStyle w:val="FirstParagraph"/>
      </w:pPr>
      <w:r>
        <w:t xml:space="preserve">The raw sequencing data was processed using CellRanger (version 7.1.0, 10X Genomics), which performed initial alignment, filtering, barcode counting, and UMI counting.</w:t>
      </w:r>
      <w:r>
        <w:t xml:space="preserve"> </w:t>
      </w:r>
      <w:r>
        <w:t xml:space="preserve">An updated reference genome (Ensembl version 109 and Gencode version 43 annotations for GRCh38) was generated for use with CellRanger.</w:t>
      </w:r>
      <w:r>
        <w:t xml:space="preserve"> </w:t>
      </w:r>
      <w:r>
        <w:t xml:space="preserve">The resulting gene-barcode matrices were then further processed using the scFlow pipeline implemented in Nextflow.</w:t>
      </w:r>
      <w:r>
        <w:t xml:space="preserve">(Khozoie et al. 2021 ; Di Tommaso et al. 2017)</w:t>
      </w:r>
    </w:p>
    <w:bookmarkEnd w:id="61"/>
    <w:bookmarkStart w:id="62" w:name="quality-control"/>
    <w:p>
      <w:pPr>
        <w:pStyle w:val="Heading4"/>
      </w:pPr>
      <w:r>
        <w:t xml:space="preserve">10.5.2 Quality Control</w:t>
      </w:r>
    </w:p>
    <w:p>
      <w:pPr>
        <w:pStyle w:val="FirstParagraph"/>
      </w:pPr>
      <w:r>
        <w:t xml:space="preserve">The processed data were read into R (version 4.4.0) using the Seurat package (version 5.1.0).</w:t>
      </w:r>
      <w:r>
        <w:t xml:space="preserve">(2024; Hao et al. 2023b)</w:t>
      </w:r>
      <w:r>
        <w:t xml:space="preserve"> </w:t>
      </w:r>
      <w:r>
        <w:t xml:space="preserve">Basic quality control (QC) measures were applied to ensure data integrity and reliability.</w:t>
      </w:r>
      <w:r>
        <w:t xml:space="preserve"> </w:t>
      </w:r>
      <w:r>
        <w:t xml:space="preserve">Specifically, cells with low feature counts were filtered out, and donors with an insufficient number of high-quality cells were excluded from further analysis, resulting in 3 donors being excluded (both fractions).</w:t>
      </w:r>
      <w:r>
        <w:t xml:space="preserve"> </w:t>
      </w:r>
      <w:r>
        <w:t xml:space="preserve">The criteria for low feature counts and donor exclusion were determined based on established thresholds in the literature and empirical distributions observed in the data.</w:t>
      </w:r>
    </w:p>
    <w:bookmarkEnd w:id="62"/>
    <w:bookmarkStart w:id="63" w:name="cell-type-annotation"/>
    <w:p>
      <w:pPr>
        <w:pStyle w:val="Heading4"/>
      </w:pPr>
      <w:r>
        <w:t xml:space="preserve">10.5.3 Cell Type Annotation</w:t>
      </w:r>
    </w:p>
    <w:p>
      <w:pPr>
        <w:pStyle w:val="FirstParagraph"/>
      </w:pPr>
      <w:r>
        <w:t xml:space="preserve">Cell types were annotated based on canonical marker genes identified from the literature,</w:t>
      </w:r>
      <w:r>
        <w:t xml:space="preserve"> </w:t>
      </w:r>
      <w:r>
        <w:t xml:space="preserve">Yang et al. (2022)</w:t>
      </w:r>
      <w:r>
        <w:t xml:space="preserve"> </w:t>
      </w:r>
      <w:r>
        <w:t xml:space="preserve">in particular.</w:t>
      </w:r>
      <w:r>
        <w:t xml:space="preserve"> </w:t>
      </w:r>
      <w:r>
        <w:t xml:space="preserve">The expression levels of these marker genes were used to classify cells into distinct cell types.</w:t>
      </w:r>
      <w:r>
        <w:t xml:space="preserve"> </w:t>
      </w:r>
      <w:r>
        <w:t xml:space="preserve">This annotation process was validated by comparing the identified cell types to known cell type distributions in similar datasets.</w:t>
      </w:r>
    </w:p>
    <w:bookmarkEnd w:id="63"/>
    <w:bookmarkEnd w:id="64"/>
    <w:bookmarkEnd w:id="65"/>
    <w:bookmarkStart w:id="67" w:name="X1cddf5a4622206ffc5dcb1185d7c97aa1d32bb6"/>
    <w:p>
      <w:pPr>
        <w:pStyle w:val="Heading2"/>
      </w:pPr>
      <w:r>
        <w:t xml:space="preserve">11 Supplemental information titles and legends</w:t>
      </w:r>
    </w:p>
    <w:tbl>
      <w:tblPr>
        <w:tblStyle w:val="Table"/>
        <w:tblW w:type="pct" w:w="5000"/>
        <w:tblLook w:firstRow="0" w:lastRow="0" w:firstColumn="0" w:lastColumn="0" w:noHBand="0" w:noVBand="0" w:val="0000"/>
        <w:jc w:val="start"/>
        <w:tblLayout w:type="fixed"/>
      </w:tblPr>
      <w:tblGrid>
        <w:gridCol w:w="7920"/>
      </w:tblGrid>
      <w:tr>
        <w:tc>
          <w:tcPr/>
          <w:bookmarkStart w:id="66" w:name="tbl-donor-metadata"/>
          <w:p>
            <w:pPr>
              <w:jc w:val="center"/>
            </w:pPr>
            <w:pPr>
              <w:jc w:val="start"/>
              <w:spacing w:before="200"/>
              <w:pStyle w:val="ImageCaption"/>
            </w:pPr>
            <w:r>
              <w:t xml:space="preserve">Table 2: Clinical Information. Clinical characteristics of the cohort and samples included in the multi-omics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donor_id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sex</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diagnosis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braak_tangle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pH_cerebellum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ethnicity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brain_weight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diagnosis_details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apoe_status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NP011/2019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(European)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level AD Braak II, Abnormal deposition of pTDP-43 in medial temporal lobe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NP041/2019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Black Caribbean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NP067/2018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LBD, CVD, Hippocampal sclerosis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NP076/2014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NP032/2018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Abnormal deposition of tau protein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NP150/2014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NP077/2018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control, low level AD change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NP102/17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Alzheimer's disease, Braak V,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NP018/14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NP406/16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NP127/14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NP080/15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NP054/17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NP109/17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NP048/19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 Braak 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 Braak 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NP160/13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IV,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with low level AD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LATE, CVD Braak 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NP103/13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NP037/18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CVD Braak 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NP016/2017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NP163/13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IV,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NP034/2014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NP008/2015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NP002/2019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NP070/2019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with low level AD change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NP128/2017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NP080/2014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LBD,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NP018/2019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NP142/2014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NP058/2019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level 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NP177/2013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LBD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NP063/2019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(European)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brainLow level 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bl>
          <w:bookmarkEnd w:id="66"/>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package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loadedversion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Bioconductor 3.19 (R 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AnnotationDbi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AnnotationFilter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AnnotationHub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BSgenome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BiocFileCache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BiocIO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BiocNeighbors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BiocParallel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BiocSingular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BiocVersion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ComplexHeatmap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DESeq2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DelayedArray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DelayedMatrixStats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DropletUtils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EWCE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ExperimentHub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GEOquery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GOSemSim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GenomicAlignments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GenomicFeatures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GenomicFiles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HDF5Array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KEGGgraph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MatrixGenerics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MungeSumstats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PCAtools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Rgraphviz</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Rhdf5lib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Rsamtools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ScaledMatrix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SingleCellExperiment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SummarizedExperiment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UCSC.utils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VariantAnnotation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XVector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alabaster.sce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alabaster.schemas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batchelor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beachmat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bluster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clusterProfiler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enrichplot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ewceData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fgsea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gageData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ggtree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gypsum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metapod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orthogene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pathview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preprocessCore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qusage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qvalue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rhdf5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rhdf5filters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rrvgo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rtracklayer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scRNAseq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scran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scuttle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simona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sparseMatrixStats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speckle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topGO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treeio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zlibbioc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Bioconductor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BSgenome.Hsapiens.1000genomes.hs37d5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BSgenome.Hsapiens.NCBI.GRCh38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EnsDb.Hsapiens.v79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GenomeInfoDbData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HDO.db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SNPlocs.Hsapiens.dbSNP155.GRCh37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SNPlocs.Hsapiens.dbSNP155.GRCh38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org.Hs.eg.db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org.Mm.eg.db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RSPM (R 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BiocManager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DirichletReg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HGNChelper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NMF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RApiSerialize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RNOmni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RSQLite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SeuratObject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UpSetR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WebGestaltR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apcluster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babelgene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backports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base64url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dqrng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english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enrichR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estimability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fastmap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formattable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ggdendro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ggfun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ggnetwork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googleAuthR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gprofiler2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homologene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1.4.68.19.3.27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humaniformat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leaflet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maxLik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minqa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mvtnorm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network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openssl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paletteer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rliger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rmarkdown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sandwich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sessioninfo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splitstackshape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statnet.common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stringfish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stringi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systemfonts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threejs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uwot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whisker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Bioconductor 3.19 (R 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Biostrings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GenomeInfoDb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GenomicRanges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IRanges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KEGGREST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S4Arrays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S4Vectors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SparseArray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alabaster.ranges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biomaRt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limma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(jinworks/CellChat@862ab34277942ca26dad41ed2d168fcbdf952950)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CellChat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RSPM (R 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RcppParallel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SparseM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XML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crayon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digest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downlit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emmeans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evaluate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ggsci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knitr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lme4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locfit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nloptr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reticulate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rlang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robustbase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scatterpie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secretbase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spatstat.sparse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xfun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yaml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DEoptimR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GetoptLong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GlobalOptions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KernSmooth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Polychrome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R.methodsS3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RColorBrewer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RCurl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RSpectra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RcppAnnoy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RcppHNSW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Rtsne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SnowballC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WriteXLS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abind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askpass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assertthat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base64enc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beeswarm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bitops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bslib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cachem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callr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cellranger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circlize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colorspace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corrgram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crosstalk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dbplyr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deldir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dichromat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doParallel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doRNG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dotCall64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dplyr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europepmc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fansi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fastDummies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fastmatch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fftw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filelock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fitdistrplus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forcats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foreach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furrr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future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future.apply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gargle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ggalluvial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ggbeeswarm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ggforce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ggplot2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ggplotify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ggpubr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ggrepel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ggridges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ggsignif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ggvenn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goftest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graphlayouts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gridBase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gridExtra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gridGraphics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haven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hms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htmltools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htmlwidgets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httpuv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irlba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iterators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janeaustenr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janitor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jquerylib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jsonlite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kableExtra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labelled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lazyeval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leiden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lifecycle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listenv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lmtest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lubridate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magrittr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mapproj</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matrixStats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memoise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miniUI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munsell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mvoutlier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parallelly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patchwork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pbapply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pcaPP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pheatmap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pkgconfig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polyclip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prettyunits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processx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progress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progressr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promises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proxy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purrr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rappdirs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readr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readxl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registry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rematch2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remotes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reshape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reshape2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restfulr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rjson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rngtools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rprojroot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rrcov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rstatix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rstudioapi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scales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scattermore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scatterplot3d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sctransform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sgeostat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shadowtext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shiny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snakecase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spatstat.explore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spatstat.geom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spatstat.random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statmod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stringr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survival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svglite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tensor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tibble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tidyselect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tidytext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tidytree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timechange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tokenizers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treemap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triebeard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tweenr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tzdb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utf8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vctrs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vipor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viridis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viridisLite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vroom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wesanderson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withr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wordcloud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xml2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yulab.utils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(chris-mcginnis-ucsf/DoubletFinder@03e9f37f891ef76a23cc55ea69f940c536ae8f9f)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DoubletFinder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cluster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(satijalab/seurat-wrappers@8d46d6c47c089e193fe5c02a8c23970715918aa9)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SeuratWrappers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(ropensci/bib2df@de0838da561544361d9be6ff20192d0d1c794cde)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bib2df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lattice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codetools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(theislab/kBET@afc5f431bcbefd73267acc066a0f2e4eaa10a355)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kBET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(cole-trapnell-lab/monocle3@98402ed0c10cac020524bebbb9300614a799f6d1)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monocle3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(ropensci/plotly@963b9143ba4102eca8edbd4750d4c85541ddd0f5)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plotly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4.10.4.9000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(immunogenomics/presto@7636b3d0465c468c35853f82f1717d3a64b3c8f6)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presto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(neurogenomics/scFlow@065bc13dacee707a0437fb65e006647660fc13c7)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scFlow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(rpolicastro/scProportionTest@37a04900be1c991428da15af7f9aa7b0ad84661e)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scProportionTest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0.0.0.9000</w:t>
            </w:r>
          </w:p>
        </w:tc>
      </w:tr>
    </w:tbl>
    <w:bookmarkEnd w:id="67"/>
    <w:bookmarkStart w:id="86" w:name="references"/>
    <w:p>
      <w:pPr>
        <w:pStyle w:val="Heading2"/>
      </w:pPr>
      <w:r>
        <w:t xml:space="preserve">12 References</w:t>
      </w:r>
    </w:p>
    <w:bookmarkStart w:id="85" w:name="refs"/>
    <w:bookmarkStart w:id="69" w:name="ref-bellenguez2022"/>
    <w:p>
      <w:pPr>
        <w:pStyle w:val="Bibliography"/>
      </w:pPr>
      <w:r>
        <w:t xml:space="preserve">Bellenguez, Céline, Fahri Küçükali, Iris E. Jansen, Luca Kleineidam, Sonia Moreno-Grau, Najaf Amin, Adam C. Naj, et al. 2022.</w:t>
      </w:r>
      <w:r>
        <w:t xml:space="preserve"> </w:t>
      </w:r>
      <w:r>
        <w:t xml:space="preserve">“New Insights into the Genetic Etiology of Alzheimer</w:t>
      </w:r>
      <w:r>
        <w:t xml:space="preserve">’</w:t>
      </w:r>
      <w:r>
        <w:t xml:space="preserve">s Disease and Related Dementias.”</w:t>
      </w:r>
      <w:r>
        <w:t xml:space="preserve"> </w:t>
      </w:r>
      <w:r>
        <w:rPr>
          <w:iCs/>
          <w:i/>
        </w:rPr>
        <w:t xml:space="preserve">Nature Genetics</w:t>
      </w:r>
      <w:r>
        <w:t xml:space="preserve"> </w:t>
      </w:r>
      <w:r>
        <w:t xml:space="preserve">54 (4): 412–36.</w:t>
      </w:r>
      <w:r>
        <w:t xml:space="preserve"> </w:t>
      </w:r>
      <w:hyperlink r:id="rId68">
        <w:r>
          <w:rPr>
            <w:rStyle w:val="Hyperlink"/>
          </w:rPr>
          <w:t xml:space="preserve">https://doi.org/10.1038/s41588-022-01024-z</w:t>
        </w:r>
      </w:hyperlink>
      <w:r>
        <w:t xml:space="preserve">.</w:t>
      </w:r>
    </w:p>
    <w:bookmarkEnd w:id="69"/>
    <w:bookmarkStart w:id="71" w:name="ref-ditommaso2017"/>
    <w:p>
      <w:pPr>
        <w:pStyle w:val="Bibliography"/>
      </w:pPr>
      <w:r>
        <w:t xml:space="preserve">Di Tommaso, Paolo, Maria Chatzou, Evan W. Floden, Pablo Prieto Barja, Emilio Palumbo, and Cedric Notredame. 2017.</w:t>
      </w:r>
      <w:r>
        <w:t xml:space="preserve"> </w:t>
      </w:r>
      <w:r>
        <w:t xml:space="preserve">“Nextflow Enables Reproducible Computational Workflows.”</w:t>
      </w:r>
      <w:r>
        <w:t xml:space="preserve"> </w:t>
      </w:r>
      <w:r>
        <w:rPr>
          <w:iCs/>
          <w:i/>
        </w:rPr>
        <w:t xml:space="preserve">Nature Biotechnology</w:t>
      </w:r>
      <w:r>
        <w:t xml:space="preserve"> </w:t>
      </w:r>
      <w:r>
        <w:t xml:space="preserve">35 (4): 316–19.</w:t>
      </w:r>
      <w:r>
        <w:t xml:space="preserve"> </w:t>
      </w:r>
      <w:hyperlink r:id="rId70">
        <w:r>
          <w:rPr>
            <w:rStyle w:val="Hyperlink"/>
          </w:rPr>
          <w:t xml:space="preserve">https://doi.org/10.1038/nbt.3820</w:t>
        </w:r>
      </w:hyperlink>
      <w:r>
        <w:t xml:space="preserve">.</w:t>
      </w:r>
    </w:p>
    <w:bookmarkEnd w:id="71"/>
    <w:bookmarkStart w:id="73" w:name="ref-Seurat"/>
    <w:p>
      <w:pPr>
        <w:pStyle w:val="Bibliography"/>
      </w:pPr>
      <w:r>
        <w:t xml:space="preserve">Hao, Yuhan, Tim Stuart, Madeline H Kowalski, Saket Choudhary, Paul Hoffman, Austin Hartman, Avi Srivastava, et al. 2023b.</w:t>
      </w:r>
      <w:r>
        <w:t xml:space="preserve"> </w:t>
      </w:r>
      <w:r>
        <w:t xml:space="preserve">“Dictionary Learning for Integrative, Multimodal and Scalable Single-Cell Analysis.”</w:t>
      </w:r>
      <w:r>
        <w:t xml:space="preserve"> </w:t>
      </w:r>
      <w:hyperlink r:id="rId72">
        <w:r>
          <w:rPr>
            <w:rStyle w:val="Hyperlink"/>
          </w:rPr>
          <w:t xml:space="preserve">https://doi.org/10.1038/s41587-023-01767-y</w:t>
        </w:r>
      </w:hyperlink>
      <w:r>
        <w:t xml:space="preserve">.</w:t>
      </w:r>
    </w:p>
    <w:bookmarkEnd w:id="73"/>
    <w:bookmarkStart w:id="74" w:name="ref-Seurat-2"/>
    <w:p>
      <w:pPr>
        <w:pStyle w:val="Bibliography"/>
      </w:pPr>
      <w:r>
        <w:t xml:space="preserve">———, et al. 2023a.</w:t>
      </w:r>
      <w:r>
        <w:t xml:space="preserve"> </w:t>
      </w:r>
      <w:r>
        <w:t xml:space="preserve">“Dictionary Learning for Integrative, Multimodal and Scalable Single-Cell Analysis.”</w:t>
      </w:r>
      <w:r>
        <w:t xml:space="preserve"> </w:t>
      </w:r>
      <w:hyperlink r:id="rId72">
        <w:r>
          <w:rPr>
            <w:rStyle w:val="Hyperlink"/>
          </w:rPr>
          <w:t xml:space="preserve">https://doi.org/10.1038/s41587-023-01767-y</w:t>
        </w:r>
      </w:hyperlink>
      <w:r>
        <w:t xml:space="preserve">.</w:t>
      </w:r>
    </w:p>
    <w:bookmarkEnd w:id="74"/>
    <w:bookmarkStart w:id="76" w:name="ref-CellChat"/>
    <w:p>
      <w:pPr>
        <w:pStyle w:val="Bibliography"/>
      </w:pPr>
      <w:r>
        <w:t xml:space="preserve">Jin, Suoqin. 2024.</w:t>
      </w:r>
      <w:r>
        <w:t xml:space="preserve"> </w:t>
      </w:r>
      <w:r>
        <w:t xml:space="preserve">“CellChat: Inference and Analysis of Cell-Cell Communication from Single-Cell and Spatially Resolved Transcriptomics Data.”</w:t>
      </w:r>
      <w:r>
        <w:t xml:space="preserve"> </w:t>
      </w:r>
      <w:hyperlink r:id="rId75">
        <w:r>
          <w:rPr>
            <w:rStyle w:val="Hyperlink"/>
          </w:rPr>
          <w:t xml:space="preserve">https://github.com/jinworks/CellChat</w:t>
        </w:r>
      </w:hyperlink>
      <w:r>
        <w:t xml:space="preserve">.</w:t>
      </w:r>
    </w:p>
    <w:bookmarkEnd w:id="76"/>
    <w:bookmarkStart w:id="78" w:name="ref-khozoie2021"/>
    <w:p>
      <w:pPr>
        <w:pStyle w:val="Bibliography"/>
      </w:pPr>
      <w:r>
        <w:t xml:space="preserve">Khozoie, Combiz, Nurun Fancy, Mahdi Marjaneh, Alan Murphy, Paul Matthews, and Nathan Skene. 2021.</w:t>
      </w:r>
      <w:r>
        <w:t xml:space="preserve"> </w:t>
      </w:r>
      <w:r>
        <w:t xml:space="preserve">“scFlow: A Scalable and Reproducible Analysis Pipeline for Single-Cell RNA Sequencing Dat.”</w:t>
      </w:r>
      <w:r>
        <w:t xml:space="preserve"> </w:t>
      </w:r>
      <w:hyperlink r:id="rId77">
        <w:r>
          <w:rPr>
            <w:rStyle w:val="Hyperlink"/>
          </w:rPr>
          <w:t xml:space="preserve">https://doi.org/10.22541/au.162912533.38489960/v2</w:t>
        </w:r>
      </w:hyperlink>
      <w:r>
        <w:t xml:space="preserve">.</w:t>
      </w:r>
    </w:p>
    <w:bookmarkEnd w:id="78"/>
    <w:bookmarkStart w:id="80" w:name="ref-kunkle2019"/>
    <w:p>
      <w:pPr>
        <w:pStyle w:val="Bibliography"/>
      </w:pPr>
      <w:r>
        <w:t xml:space="preserve">Kunkle, Brian W., Benjamin Grenier-Boley, Rebecca Sims, Joshua C. Bis, Vincent Damotte, Adam C. Naj, Anne Boland, et al. 2019.</w:t>
      </w:r>
      <w:r>
        <w:t xml:space="preserve"> </w:t>
      </w:r>
      <w:r>
        <w:t xml:space="preserve">“Genetic Meta-Analysis of Diagnosed Alzheimer</w:t>
      </w:r>
      <w:r>
        <w:t xml:space="preserve">’</w:t>
      </w:r>
      <w:r>
        <w:t xml:space="preserve">s Disease Identifies New Risk Loci and Implicates Aβ, Tau, Immunity and Lipid Processing.”</w:t>
      </w:r>
      <w:r>
        <w:t xml:space="preserve"> </w:t>
      </w:r>
      <w:r>
        <w:rPr>
          <w:iCs/>
          <w:i/>
        </w:rPr>
        <w:t xml:space="preserve">Nature Genetics</w:t>
      </w:r>
      <w:r>
        <w:t xml:space="preserve"> </w:t>
      </w:r>
      <w:r>
        <w:t xml:space="preserve">51 (3): 414–30.</w:t>
      </w:r>
      <w:r>
        <w:t xml:space="preserve"> </w:t>
      </w:r>
      <w:hyperlink r:id="rId79">
        <w:r>
          <w:rPr>
            <w:rStyle w:val="Hyperlink"/>
          </w:rPr>
          <w:t xml:space="preserve">https://doi.org/10.1038/s41588-019-0358-2</w:t>
        </w:r>
      </w:hyperlink>
      <w:r>
        <w:t xml:space="preserve">.</w:t>
      </w:r>
    </w:p>
    <w:bookmarkEnd w:id="80"/>
    <w:bookmarkStart w:id="82" w:name="ref-base"/>
    <w:p>
      <w:pPr>
        <w:pStyle w:val="Bibliography"/>
      </w:pPr>
      <w:r>
        <w:t xml:space="preserve">R Core Team. 2024.</w:t>
      </w:r>
      <w:r>
        <w:t xml:space="preserve"> </w:t>
      </w:r>
      <w:r>
        <w:t xml:space="preserve">“R: A Language and Environment for Statistical Computing.”</w:t>
      </w:r>
      <w:r>
        <w:t xml:space="preserve"> </w:t>
      </w:r>
      <w:hyperlink r:id="rId81">
        <w:r>
          <w:rPr>
            <w:rStyle w:val="Hyperlink"/>
          </w:rPr>
          <w:t xml:space="preserve">https://www.R-project.org/</w:t>
        </w:r>
      </w:hyperlink>
      <w:r>
        <w:t xml:space="preserve">.</w:t>
      </w:r>
    </w:p>
    <w:bookmarkEnd w:id="82"/>
    <w:bookmarkStart w:id="84" w:name="ref-yang2022"/>
    <w:p>
      <w:pPr>
        <w:pStyle w:val="Bibliography"/>
      </w:pPr>
      <w:r>
        <w:t xml:space="preserve">Yang, Andrew C., Ryan T. Vest, Fabian Kern, Davis P. Lee, Maayan Agam, Christina A. Maat, Patricia M. Losada, et al. 2022.</w:t>
      </w:r>
      <w:r>
        <w:t xml:space="preserve"> </w:t>
      </w:r>
      <w:r>
        <w:t xml:space="preserve">“A human brain vascular atlas reveals diverse mediators of Alzheimer’s risk.”</w:t>
      </w:r>
      <w:r>
        <w:t xml:space="preserve"> </w:t>
      </w:r>
      <w:r>
        <w:rPr>
          <w:iCs/>
          <w:i/>
        </w:rPr>
        <w:t xml:space="preserve">Nature</w:t>
      </w:r>
      <w:r>
        <w:t xml:space="preserve"> </w:t>
      </w:r>
      <w:r>
        <w:t xml:space="preserve">603 (7903): 885–92.</w:t>
      </w:r>
      <w:r>
        <w:t xml:space="preserve"> </w:t>
      </w:r>
      <w:hyperlink r:id="rId83">
        <w:r>
          <w:rPr>
            <w:rStyle w:val="Hyperlink"/>
          </w:rPr>
          <w:t xml:space="preserve">https://doi.org/10.1038/s41586-021-04369-3</w:t>
        </w:r>
      </w:hyperlink>
      <w:r>
        <w:t xml:space="preserv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hyperlink" Id="rId70" Target="https://doi.org/10.1038/nbt.3820" TargetMode="External" /><Relationship Type="http://schemas.openxmlformats.org/officeDocument/2006/relationships/hyperlink" Id="rId83" Target="https://doi.org/10.1038/s41586-021-04369-3" TargetMode="External" /><Relationship Type="http://schemas.openxmlformats.org/officeDocument/2006/relationships/hyperlink" Id="rId72" Target="https://doi.org/10.1038/s41587-023-01767-y" TargetMode="External" /><Relationship Type="http://schemas.openxmlformats.org/officeDocument/2006/relationships/hyperlink" Id="rId79" Target="https://doi.org/10.1038/s41588-019-0358-2" TargetMode="External" /><Relationship Type="http://schemas.openxmlformats.org/officeDocument/2006/relationships/hyperlink" Id="rId68" Target="https://doi.org/10.1038/s41588-022-01024-z" TargetMode="External" /><Relationship Type="http://schemas.openxmlformats.org/officeDocument/2006/relationships/hyperlink" Id="rId77" Target="https://doi.org/10.22541/au.162912533.38489960/v2" TargetMode="External" /><Relationship Type="http://schemas.openxmlformats.org/officeDocument/2006/relationships/hyperlink" Id="rId75" Target="https://github.com/jinworks/CellChat" TargetMode="External" /><Relationship Type="http://schemas.openxmlformats.org/officeDocument/2006/relationships/hyperlink" Id="rId81" Target="https://www.R-project.org/" TargetMode="External" /><Relationship Type="http://schemas.openxmlformats.org/officeDocument/2006/relationships/hyperlink" Id="rId49" Target="https://www.cell.com/pb-assets/journals/research/cell/methods/Methods_Guide_Cell-1678470557763.pdf" TargetMode="External" /><Relationship Type="http://schemas.openxmlformats.org/officeDocument/2006/relationships/hyperlink" Id="rId48" Target="https://www.cell.com/star-authors-guide"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38/nbt.3820" TargetMode="External" /><Relationship Type="http://schemas.openxmlformats.org/officeDocument/2006/relationships/hyperlink" Id="rId83" Target="https://doi.org/10.1038/s41586-021-04369-3" TargetMode="External" /><Relationship Type="http://schemas.openxmlformats.org/officeDocument/2006/relationships/hyperlink" Id="rId72" Target="https://doi.org/10.1038/s41587-023-01767-y" TargetMode="External" /><Relationship Type="http://schemas.openxmlformats.org/officeDocument/2006/relationships/hyperlink" Id="rId79" Target="https://doi.org/10.1038/s41588-019-0358-2" TargetMode="External" /><Relationship Type="http://schemas.openxmlformats.org/officeDocument/2006/relationships/hyperlink" Id="rId68" Target="https://doi.org/10.1038/s41588-022-01024-z" TargetMode="External" /><Relationship Type="http://schemas.openxmlformats.org/officeDocument/2006/relationships/hyperlink" Id="rId77" Target="https://doi.org/10.22541/au.162912533.38489960/v2" TargetMode="External" /><Relationship Type="http://schemas.openxmlformats.org/officeDocument/2006/relationships/hyperlink" Id="rId75" Target="https://github.com/jinworks/CellChat" TargetMode="External" /><Relationship Type="http://schemas.openxmlformats.org/officeDocument/2006/relationships/hyperlink" Id="rId81" Target="https://www.R-project.org/" TargetMode="External" /><Relationship Type="http://schemas.openxmlformats.org/officeDocument/2006/relationships/hyperlink" Id="rId49" Target="https://www.cell.com/pb-assets/journals/research/cell/methods/Methods_Guide_Cell-1678470557763.pdf" TargetMode="External" /><Relationship Type="http://schemas.openxmlformats.org/officeDocument/2006/relationships/hyperlink" Id="rId48" Target="https://www.cell.com/star-authors-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BBB in AD</dc:title>
  <dc:creator>Gabriel Mateus Bernardo Harrington; Jimena Monzon Sandoval; Michal Rokicki; Zameel Cader; Caleb Webber</dc:creator>
  <cp:keywords>Alzheimer’s diesease, Blood brain barrier</cp:keywords>
  <dcterms:created xsi:type="dcterms:W3CDTF">2024-07-24T11:02:31Z</dcterms:created>
  <dcterms:modified xsi:type="dcterms:W3CDTF">2024-07-24T11:02:31Z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blood brain barrier, it’s important, probably in AD even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date">
    <vt:lpwstr>2024-07-24</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plain-language-summary">
    <vt:lpwstr>Getting a more complete view of all the celltypes in the brain is good I guess</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oc-title">
    <vt:lpwstr>Table of contents</vt:lpwstr>
  </property>
  <property fmtid="{D5CDD505-2E9C-101B-9397-08002B2CF9AE}" pid="30" name="unroll-markdown-cells">
    <vt:lpwstr>True</vt:lpwstr>
  </property>
</Properties>
</file>