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2023-09-07</w:t>
      </w:r>
    </w:p>
    <w:bookmarkStart w:id="20" w:name="introduction"/>
    <w:p>
      <w:pPr>
        <w:pStyle w:val="Heading1"/>
      </w:pPr>
      <w:r>
        <w:t xml:space="preserve">Introduction</w:t>
      </w:r>
    </w:p>
    <w:p>
      <w:pPr>
        <w:pStyle w:val="FirstParagraph"/>
      </w:pPr>
      <w:r>
        <w:t xml:space="preserve">This note aims at setting out guidelines for population inference using weights and survey design</w:t>
      </w:r>
      <w:r>
        <w:t xml:space="preserve"> </w:t>
      </w:r>
      <w:r>
        <w:t xml:space="preserve">variables with UKDS social surveys. It focuses on providing users with practical procedures for safe estimation and only discuss the theoretical underpinnings of survey</w:t>
      </w:r>
      <w:r>
        <w:t xml:space="preserve"> </w:t>
      </w:r>
      <w:r>
        <w:t xml:space="preserve">design, sampling or estimation with weighted survey data where it is necessary. The content</w:t>
      </w:r>
      <w:r>
        <w:t xml:space="preserve"> </w:t>
      </w:r>
      <w:r>
        <w:t xml:space="preserve">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tutorials is provided in the bibliography.</w:t>
      </w:r>
    </w:p>
    <w:p>
      <w:pPr>
        <w:pStyle w:val="BodyText"/>
      </w:pPr>
      <w:r>
        <w:t xml:space="preserve">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w:t>
      </w:r>
      <w:r>
        <w:t xml:space="preserve"> </w:t>
      </w:r>
      <w:r>
        <w:t xml:space="preserve">‘</w:t>
      </w:r>
      <w:r>
        <w:t xml:space="preserve">large</w:t>
      </w:r>
      <w:r>
        <w:t xml:space="preserve">’</w:t>
      </w:r>
      <w:r>
        <w:t xml:space="preserve"> </w:t>
      </w:r>
      <w:r>
        <w:t xml:space="preserve">populations are estimated with the help of samples that are drawn from them. Estimation of population parameters traditionally consist in computing two pieces of information: a measure of a value of interest also known as point estimate, such as a mean or a median, together with an indication of its degree of uncertainty or precision (as standard error). Alternatively, one could also decide to represent likely values of population estimates explicitly as a range of values or interval.</w:t>
      </w:r>
    </w:p>
    <w:p>
      <w:pPr>
        <w:pStyle w:val="BodyText"/>
      </w:pPr>
      <w:r>
        <w:t xml:space="preserve">It has been demonstrated that when certain conditions are met, such as when samples are randomly drawn and sample size is large enough, surveys and the parameter estimates inferred from them are representative of the corresponding population</w:t>
      </w:r>
      <w:r>
        <w:t xml:space="preserve"> </w:t>
      </w:r>
      <w:r>
        <w:t xml:space="preserve">(Lohr 2019 - 2010)</w:t>
      </w:r>
      <w:r>
        <w:t xml:space="preserve">. Robust, unbiased estimates are estimates that are not only</w:t>
      </w:r>
      <w:r>
        <w:t xml:space="preserve"> </w:t>
      </w:r>
      <w:r>
        <w:rPr>
          <w:iCs/>
          <w:i/>
        </w:rPr>
        <w:t xml:space="preserve">representative</w:t>
      </w:r>
      <w:r>
        <w:t xml:space="preserve"> </w:t>
      </w:r>
      <w:r>
        <w:t xml:space="preserve">– they reflect the characteristic of interest in the population, but also</w:t>
      </w:r>
      <w:r>
        <w:t xml:space="preserve"> </w:t>
      </w:r>
      <w:r>
        <w:rPr>
          <w:iCs/>
          <w:i/>
        </w:rPr>
        <w:t xml:space="preserve">precise</w:t>
      </w:r>
      <w:r>
        <w:t xml:space="preserve"> </w:t>
      </w:r>
      <w:r>
        <w:t xml:space="preserve">enough for the inference to be meaningful. Unfortunately, in part as a result of design decisions, in part – and increasingly so – due to non response, raw, ie uncorrected, population estimates from real-world social surveys present some degree of bias.</w:t>
      </w:r>
    </w:p>
    <w:p>
      <w:pPr>
        <w:pStyle w:val="BodyText"/>
      </w:pPr>
      <w:r>
        <w:t xml:space="preserve">It is usually considered that in order to produce robust population estimates from potentially biased samples, including as much of the survey design information as possible alongside(non response and sampling) weights is required. Conversely, estimates computed without weights or accounting for survey design will at best present some degree of bias or even might be altogether unreliable. Computing weighted estimates and accounting for survey design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users of UKDS data to properly implement robust estimation strategies that are adapted to their needs, which is the purpose of this document.</w:t>
      </w:r>
    </w:p>
    <w:bookmarkEnd w:id="20"/>
    <w:bookmarkStart w:id="30" w:name="basics-of-survey-design"/>
    <w:p>
      <w:pPr>
        <w:pStyle w:val="Heading1"/>
      </w:pPr>
      <w:r>
        <w:t xml:space="preserve">1. Basics of Survey Design</w:t>
      </w:r>
    </w:p>
    <w:p>
      <w:pPr>
        <w:pStyle w:val="FirstParagraph"/>
      </w:pPr>
      <w:r>
        <w:t xml:space="preserve">At the core of survey design are the strategies adopted in order to collect samples. Sample units can either be selected randomly, an approach also known as probability sampling, or not - for example when internet users are taking part to an online poll. Random sampling is usually preferred as it minimises the risk of obtaining non representative or biased samples - for example where certain groups of the population are under represented or altogether excluded. Statistical textbooks usually consider that simple random sampling - simply drawing population members at random - is the best way to obtain a random sample and avoid bias. This is however difficult to achieve in practice with real life social surveys. Simple random sampling requires a sampling frame ie ideally a list of all members of the population of interest. In countries without a national register - a database of all residents - such a list does not exist and needs to be approximated by other means which may be costly to achieve. Simple random sampling can also not be optimal when groups within the population are known to have different probability to take part to surveys.</w:t>
      </w:r>
    </w:p>
    <w:p>
      <w:pPr>
        <w:pStyle w:val="BodyText"/>
      </w:pPr>
      <w:r>
        <w:t xml:space="preserve">In practice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 Techniques are employed for example, to ensure each country of the UK is correctly represented which may might involve taking separate samples for England, Scotland, Wales and Northern Ireland and that certain sub-groups, for example the ethnic minorities, are adequately represented..</w:t>
      </w:r>
    </w:p>
    <w:p>
      <w:pPr>
        <w:pStyle w:val="BodyText"/>
      </w:pPr>
      <w:r>
        <w:t xml:space="preserve">Two common survey design techniques employed are</w:t>
      </w:r>
      <w:r>
        <w:t xml:space="preserve"> </w:t>
      </w:r>
      <w:r>
        <w:rPr>
          <w:iCs/>
          <w:i/>
        </w:rPr>
        <w:t xml:space="preserve">clustering</w:t>
      </w:r>
      <w:r>
        <w:t xml:space="preserve"> </w:t>
      </w:r>
      <w:r>
        <w:t xml:space="preserve">and</w:t>
      </w:r>
      <w:r>
        <w:t xml:space="preserve"> </w:t>
      </w:r>
      <w:r>
        <w:rPr>
          <w:iCs/>
          <w:i/>
        </w:rPr>
        <w:t xml:space="preserve">stratification</w:t>
      </w:r>
      <w:r>
        <w:t xml:space="preserve">.</w:t>
      </w:r>
    </w:p>
    <w:bookmarkStart w:id="24" w:name="clustering"/>
    <w:p>
      <w:pPr>
        <w:pStyle w:val="Heading2"/>
      </w:pPr>
      <w:r>
        <w:t xml:space="preserve">1.1 Clustering</w:t>
      </w:r>
    </w:p>
    <w:p>
      <w:pPr>
        <w:pStyle w:val="FirstParagraph"/>
      </w:pPr>
      <w:r>
        <w:t xml:space="preserve">Clustering usually goes hand in hand with multistage sampling, that is drawing sample units in several stages rather than all at once. It consists in dividing the population into groups that are as internally heterogeneous as possible - one could think of them as</w:t>
      </w:r>
      <w:r>
        <w:t xml:space="preserve"> </w:t>
      </w:r>
      <w:r>
        <w:t xml:space="preserve">‘</w:t>
      </w:r>
      <w:r>
        <w:t xml:space="preserve">mini populations</w:t>
      </w:r>
      <w:r>
        <w:t xml:space="preserve">’</w:t>
      </w:r>
      <w:r>
        <w:t xml:space="preserve">, some of which are then randomly selected while others are left out.</w:t>
      </w:r>
    </w:p>
    <w:p>
      <w:pPr>
        <w:pStyle w:val="BodyText"/>
      </w:pPr>
      <w:r>
        <w:rPr>
          <w:bCs/>
          <w:b/>
        </w:rPr>
        <w:t xml:space="preserve">The UK context</w:t>
      </w:r>
      <w:r>
        <w:t xml:space="preserve"> </w:t>
      </w:r>
      <w:r>
        <w:t xml:space="preserve">In Great-Britain, the closest that comes to a population register that can be used as a sampling frame is a list of addresses kept by Royal Mail, also know as the Postcode Address File (PAF). For Northern Ireland the most commonly used is the Land and Property Services Agency’s (LPSA). As a list of addresses however, the PAF cannot be used to draw a simple random sample of either households or individuals as the number of dwellings, households and individuals at each address in not indicated.</w:t>
      </w:r>
    </w:p>
    <w:p>
      <w:pPr>
        <w:pStyle w:val="BodyText"/>
      </w:pPr>
      <w:r>
        <w:t xml:space="preserve">The nature of the PAF address structure easily enables geographical clustering in UK surveys. Addresses, or ’delivery points’ cluster into larger units, for example the post code M13 9PL is embedded within the the M13</w:t>
      </w:r>
      <w:r>
        <w:t xml:space="preserve"> </w:t>
      </w:r>
      <w:r>
        <w:t xml:space="preserve">‘</w:t>
      </w:r>
      <w:r>
        <w:t xml:space="preserve">post code district</w:t>
      </w:r>
      <w:r>
        <w:t xml:space="preserve">’</w:t>
      </w:r>
      <w:r>
        <w:t xml:space="preserve"> </w:t>
      </w:r>
      <w:r>
        <w:t xml:space="preserve">and the M13 9</w:t>
      </w:r>
      <w:r>
        <w:t xml:space="preserve"> </w:t>
      </w:r>
      <w:r>
        <w:t xml:space="preserve">‘</w:t>
      </w:r>
      <w:r>
        <w:t xml:space="preserve">postcode sector</w:t>
      </w:r>
      <w:r>
        <w:t xml:space="preserve">’</w:t>
      </w:r>
      <w:r>
        <w:t xml:space="preserve">. Survey designs often use either postcode sectors or districts as Primary Sampling Units (PSUs). This may be used for instance in order to reduce fieldwork costs and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1661"/>
                  <wp:effectExtent b="0" l="0" r="0" t="0"/>
                  <wp:docPr descr="" title="" id="22" name="Picture"/>
                  <a:graphic>
                    <a:graphicData uri="http://schemas.openxmlformats.org/drawingml/2006/picture">
                      <pic:pic>
                        <pic:nvPicPr>
                          <pic:cNvPr descr="pics/cluster.png" id="23" name="Picture"/>
                          <pic:cNvPicPr>
                            <a:picLocks noChangeArrowheads="1" noChangeAspect="1"/>
                          </pic:cNvPicPr>
                        </pic:nvPicPr>
                        <pic:blipFill>
                          <a:blip r:embed="rId21"/>
                          <a:stretch>
                            <a:fillRect/>
                          </a:stretch>
                        </pic:blipFill>
                        <pic:spPr bwMode="auto">
                          <a:xfrm>
                            <a:off x="0" y="0"/>
                            <a:ext cx="5334000" cy="23716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Clustering in two stage sampling</w:t>
            </w:r>
          </w:p>
        </w:tc>
      </w:tr>
    </w:tbl>
    <w:p>
      <w:pPr>
        <w:pStyle w:val="BodyText"/>
      </w:pPr>
      <w:r>
        <w:t xml:space="preserve">Figure 1 provides a simplified illustration of clustering with four districts as Primary Sampling Units (PSUs). The dotted lines indicate that districts 1 and 4 have been selected to be in the sample. A second stage of sampling follows where within the two sampled districts samples of households are taken. As a result, of this design we obtain a sample of households but these households are clustered within a sample of districts.</w:t>
      </w:r>
      <w:r>
        <w:t xml:space="preserve"> </w:t>
      </w:r>
      <w:r>
        <w:t xml:space="preserve">dta13</w:t>
      </w:r>
      <w:r>
        <w:t xml:space="preserve"> </w:t>
      </w:r>
      <w:r>
        <w:t xml:space="preserve">Subsequently drawing of either further clusters or final sample members take place within the already selected clusters. These higher level clusters, ie those at which the first random draw happened as known as Primary Sampling Units (PSUs). In large scale surveys the PSUs are often geographical areas.</w:t>
      </w:r>
    </w:p>
    <w:p>
      <w:pPr>
        <w:pStyle w:val="BodyText"/>
      </w:pPr>
      <w:r>
        <w:rPr>
          <w:bCs/>
          <w:b/>
        </w:rPr>
        <w:t xml:space="preserve">Household level clustering</w:t>
      </w:r>
    </w:p>
    <w:p>
      <w:pPr>
        <w:pStyle w:val="BodyText"/>
      </w:pPr>
      <w:r>
        <w:t xml:space="preserve">A lesser discussed aspect of clustering arise if all individuals at a sampled household are selected. 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w:t>
      </w:r>
      <w:r>
        <w:t xml:space="preserve"> </w:t>
      </w:r>
      <w:r>
        <w:t xml:space="preserve">‘</w:t>
      </w:r>
      <w:r>
        <w:t xml:space="preserve">clustered</w:t>
      </w:r>
      <w:r>
        <w:t xml:space="preserve">’</w:t>
      </w:r>
      <w:r>
        <w:t xml:space="preserve"> </w:t>
      </w:r>
      <w:r>
        <w:t xml:space="preserve">within households, with some households being wholly overseas born, some mixed and most wholly UK born.</w:t>
      </w:r>
    </w:p>
    <w:p>
      <w:pPr>
        <w:pStyle w:val="BodyText"/>
      </w:pPr>
      <w:r>
        <w:t xml:space="preserve">e.g. </w:t>
      </w:r>
    </w:p>
    <w:p>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pPr>
        <w:pStyle w:val="FirstParagraph"/>
      </w:pPr>
      <w:r>
        <w:t xml:space="preserve">And so on…</w:t>
      </w:r>
    </w:p>
    <w:p>
      <w:pPr>
        <w:pStyle w:val="BodyText"/>
      </w:pPr>
      <w:r>
        <w:t xml:space="preserve">This means that if we are selecting only one in ten of the households for our sample we might expect the sample to be less accurate in predicting the proportion of our population who were born outside the UK than if we had sampled individuals at random.</w:t>
      </w:r>
    </w:p>
    <w:p>
      <w:pPr>
        <w:pStyle w:val="BodyText"/>
      </w:pPr>
      <w:r>
        <w:t xml:space="preserve">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cme back to this in the next section.</w:t>
      </w:r>
    </w:p>
    <w:p>
      <w:pPr>
        <w:pStyle w:val="BodyText"/>
      </w:pPr>
    </w:p>
    <w:bookmarkEnd w:id="24"/>
    <w:bookmarkStart w:id="28" w:name="stratification"/>
    <w:p>
      <w:pPr>
        <w:pStyle w:val="Heading2"/>
      </w:pPr>
      <w:r>
        <w:t xml:space="preserve">1.2 Stratification</w:t>
      </w:r>
    </w:p>
    <w:p>
      <w:pPr>
        <w:pStyle w:val="FirstParagraph"/>
      </w:pPr>
      <w:r>
        <w:t xml:space="preserve">In stratified sampling, the population is divided into groups, or strata, and a sample of units is selected from each. Stratified sampling ensures the sample includes a certain proportion of units from the selected groups that may have been missed otherwise. By contrast with clustering strata are constructed so as to maximise their internal homogeneity.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26241"/>
                  <wp:effectExtent b="0" l="0" r="0" t="0"/>
                  <wp:docPr descr="" title="" id="26" name="Picture"/>
                  <a:graphic>
                    <a:graphicData uri="http://schemas.openxmlformats.org/drawingml/2006/picture">
                      <pic:pic>
                        <pic:nvPicPr>
                          <pic:cNvPr descr="pics/strata.png" id="27" name="Picture"/>
                          <pic:cNvPicPr>
                            <a:picLocks noChangeArrowheads="1" noChangeAspect="1"/>
                          </pic:cNvPicPr>
                        </pic:nvPicPr>
                        <pic:blipFill>
                          <a:blip r:embed="rId25"/>
                          <a:stretch>
                            <a:fillRect/>
                          </a:stretch>
                        </pic:blipFill>
                        <pic:spPr bwMode="auto">
                          <a:xfrm>
                            <a:off x="0" y="0"/>
                            <a:ext cx="5334000" cy="23262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stratified sampling</w:t>
            </w:r>
          </w:p>
        </w:tc>
      </w:tr>
    </w:tbl>
    <w:p>
      <w:pPr>
        <w:pStyle w:val="BodyText"/>
      </w:pPr>
      <w:r>
        <w:t xml:space="preserve">Figure 2 provides a simplified example where the population is divided into four strata: North, South, East and West. Within each strata five sampling units (represented by houses) are selected.</w:t>
      </w:r>
    </w:p>
    <w:p>
      <w:pPr>
        <w:pStyle w:val="BodyText"/>
      </w:pPr>
      <w:r>
        <w:t xml:space="preserve">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pPr>
        <w:pStyle w:val="BodyText"/>
      </w:pPr>
      <w:r>
        <w:t xml:space="preserve">It is considered that overall stratification by improving the representativeness of potentially less represented or harder to reach groups increases the precision of surveys.</w:t>
      </w:r>
    </w:p>
    <w:bookmarkEnd w:id="28"/>
    <w:bookmarkStart w:id="29" w:name="Xb60baffa60d4a10e52bae84979cf4137a5ad1f2"/>
    <w:p>
      <w:pPr>
        <w:pStyle w:val="Heading2"/>
      </w:pPr>
      <w:r>
        <w:t xml:space="preserve">1.3 Proportionate vs non proportionate stratification</w:t>
      </w:r>
    </w:p>
    <w:p>
      <w:pPr>
        <w:pStyle w:val="FirstParagraph"/>
      </w:pPr>
      <w:r>
        <w:t xml:space="preserve">In simple random sample each element drawn from the sampling frame have an equal selection probability, therefore the sampling fraction is</w:t>
      </w:r>
      <w:r>
        <w:t xml:space="preserve"> </w:t>
      </w:r>
      <m:oMath>
        <m:r>
          <m:t>n</m:t>
        </m:r>
        <m:r>
          <m:rPr>
            <m:sty m:val="p"/>
          </m:rPr>
          <m:t>/</m:t>
        </m:r>
        <m:r>
          <m:t>N</m:t>
        </m:r>
      </m:oMath>
      <w:r>
        <w:t xml:space="preserve"> </w:t>
      </w:r>
      <w:r>
        <w:t xml:space="preserve">with</w:t>
      </w:r>
      <w:r>
        <w:t xml:space="preserve"> </w:t>
      </w:r>
      <m:oMath>
        <m:r>
          <m:t>n</m:t>
        </m:r>
      </m:oMath>
      <w:r>
        <w:t xml:space="preserve"> </w:t>
      </w:r>
      <w:r>
        <w:t xml:space="preserve">the sample size and N the population size. This can either be achieved by directly selecting sample units at random or by choosing a random start and an interval.</w:t>
      </w:r>
    </w:p>
    <w:p>
      <w:pPr>
        <w:pStyle w:val="BodyText"/>
      </w:pPr>
      <w:r>
        <w:t xml:space="preserve">In the context of stratified sampling</w:t>
      </w:r>
      <w:r>
        <w:t xml:space="preserve"> </w:t>
      </w:r>
      <w:r>
        <w:rPr>
          <w:iCs/>
          <w:i/>
        </w:rPr>
        <w:t xml:space="preserve">proportionate stratification</w:t>
      </w:r>
      <w:r>
        <w:t xml:space="preserve"> </w:t>
      </w:r>
      <w:r>
        <w:t xml:space="preserve">refers to case where the same sampling fraction is used for elements within all stratum: ie</w:t>
      </w:r>
      <w:r>
        <w:t xml:space="preserve"> </w:t>
      </w:r>
      <m:oMath>
        <m:sSub>
          <m:e>
            <m:r>
              <m:t>n</m:t>
            </m:r>
          </m:e>
          <m:sub>
            <m:r>
              <m:t>h</m:t>
            </m:r>
          </m:sub>
        </m:sSub>
        <m:r>
          <m:rPr>
            <m:sty m:val="p"/>
          </m:rPr>
          <m:t>/</m:t>
        </m:r>
        <m:sSub>
          <m:e>
            <m:r>
              <m:t>N</m:t>
            </m:r>
          </m:e>
          <m:sub>
            <m:r>
              <m:t>h</m:t>
            </m:r>
          </m:sub>
        </m:sSub>
      </m:oMath>
      <w:r>
        <w:t xml:space="preserve">. We can see this in Figure 2 as the same proportion of units is selected for all strata with a sampling fraction of</w:t>
      </w:r>
      <w:r>
        <w:t xml:space="preserve"> </w:t>
      </w:r>
      <m:oMath>
        <m:r>
          <m:t>1</m:t>
        </m:r>
        <m:r>
          <m:rPr>
            <m:sty m:val="p"/>
          </m:rPr>
          <m:t>/</m:t>
        </m:r>
        <m:r>
          <m:t>4</m:t>
        </m:r>
      </m:oMath>
      <w:r>
        <w:t xml:space="preserve">.</w:t>
      </w:r>
    </w:p>
    <w:p>
      <w:pPr>
        <w:pStyle w:val="BodyText"/>
      </w:pPr>
      <w:r>
        <w:t xml:space="preserve">It is sometimes necessary to use</w:t>
      </w:r>
      <w:r>
        <w:t xml:space="preserve"> </w:t>
      </w:r>
      <w:r>
        <w:rPr>
          <w:iCs/>
          <w:i/>
        </w:rPr>
        <w:t xml:space="preserve">disproportionate stratification</w:t>
      </w:r>
      <w:r>
        <w:t xml:space="preserve"> </w:t>
      </w:r>
      <w:r>
        <w:t xml:space="preserve">where the sampling fraction varies across strata. This method is used to increase the numbers of a specific group in the population and is useful when a sub-population of interest is numerically small, like less populated areas or ethnic minority groups. In such a case,</w:t>
      </w:r>
      <w:r>
        <w:t xml:space="preserve"> </w:t>
      </w:r>
      <m:oMath>
        <m:sSub>
          <m:e>
            <m:r>
              <m:t>n</m:t>
            </m:r>
          </m:e>
          <m:sub>
            <m:r>
              <m:t>h</m:t>
            </m:r>
          </m:sub>
        </m:sSub>
        <m:r>
          <m:rPr>
            <m:sty m:val="p"/>
          </m:rPr>
          <m:t>/</m:t>
        </m:r>
        <m:sSub>
          <m:e>
            <m:r>
              <m:t>N</m:t>
            </m:r>
          </m:e>
          <m:sub>
            <m:r>
              <m:t>h</m:t>
            </m:r>
          </m:sub>
        </m:sSub>
        <m:r>
          <m:rPr>
            <m:sty m:val="p"/>
          </m:rPr>
          <m:t>&gt;</m:t>
        </m:r>
        <m:sSub>
          <m:e>
            <m:r>
              <m:t>n</m:t>
            </m:r>
          </m:e>
          <m:sub>
            <m:r>
              <m:t>h</m:t>
            </m:r>
            <m:r>
              <m:rPr>
                <m:sty m:val="p"/>
              </m:rPr>
              <m:t>+</m:t>
            </m:r>
            <m:r>
              <m:t>1</m:t>
            </m:r>
          </m:sub>
        </m:sSub>
        <m:r>
          <m:rPr>
            <m:sty m:val="p"/>
          </m:rPr>
          <m:t>/</m:t>
        </m:r>
        <m:sSub>
          <m:e>
            <m:r>
              <m:t>N</m:t>
            </m:r>
          </m:e>
          <m:sub>
            <m:r>
              <m:t>h</m:t>
            </m:r>
            <m:r>
              <m:rPr>
                <m:sty m:val="p"/>
              </m:rPr>
              <m:t>+</m:t>
            </m:r>
            <m:r>
              <m:t>1</m:t>
            </m:r>
          </m:sub>
        </m:sSub>
      </m:oMath>
      <w:r>
        <w:t xml:space="preserve">: the sampling fraction in stratum</w:t>
      </w:r>
      <w:r>
        <w:t xml:space="preserve"> </w:t>
      </w:r>
      <m:oMath>
        <m:r>
          <m:t>h</m:t>
        </m:r>
      </m:oMath>
      <w:r>
        <w:t xml:space="preserve"> </w:t>
      </w:r>
      <w:r>
        <w:t xml:space="preserve">is larger ie we are proportionally drwing more units in that stratum relative to its size, than in stratum</w:t>
      </w:r>
      <w:r>
        <w:t xml:space="preserve"> </w:t>
      </w:r>
      <m:oMath>
        <m:r>
          <m:t>h</m:t>
        </m:r>
        <m:r>
          <m:rPr>
            <m:sty m:val="p"/>
          </m:rPr>
          <m:t>+</m:t>
        </m:r>
        <m:r>
          <m:t>1</m:t>
        </m:r>
      </m:oMath>
      <w:r>
        <w:t xml:space="preserve">. For example the British Election Study 2010 respondents from an ethnic minority background were over-sampled as too little was known about ethnic minority voting behaviour. Disproportionate stratification will mean some groups are over-represented in the sample.</w:t>
      </w:r>
    </w:p>
    <w:p>
      <w:pPr>
        <w:pStyle w:val="BodyText"/>
      </w:pPr>
      <w:r>
        <w:t xml:space="preserve">(</w:t>
      </w:r>
      <w:r>
        <w:rPr>
          <w:bCs/>
          <w:b/>
        </w:rPr>
        <w:t xml:space="preserve">PierreWal?</w:t>
      </w:r>
      <w:r>
        <w:t xml:space="preserve">)</w:t>
      </w:r>
      <w:r>
        <w:t xml:space="preserve">: I think we should remove commented out content</w:t>
      </w:r>
    </w:p>
    <w:bookmarkEnd w:id="29"/>
    <w:bookmarkEnd w:id="30"/>
    <w:bookmarkStart w:id="33" w:name="Xac929360f5ad242ef94fcd5e724a2e14154afa9"/>
    <w:p>
      <w:pPr>
        <w:pStyle w:val="Heading1"/>
      </w:pPr>
      <w:r>
        <w:t xml:space="preserve">2 Design-based inference from social surveys</w:t>
      </w:r>
    </w:p>
    <w:p>
      <w:pPr>
        <w:pStyle w:val="FirstParagraph"/>
      </w:pPr>
      <w:r>
        <w:t xml:space="preserve">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proportional to size in order to strike a compromise between tackling non response, unequal probability of selection, improving the representativeness of hard to reach groups while keeping fieldwork costs down.</w:t>
      </w:r>
    </w:p>
    <w:p>
      <w:pPr>
        <w:pStyle w:val="BodyText"/>
      </w:pPr>
      <w:r>
        <w:t xml:space="preserve">Conducting inference consist in estimating parameters - quantities of interests from surveys,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groups, stratification improves the precision of estimates, whereas by in effect removing part of the population from the sample, clustering will negatively impact precision. Since most survey use a combination of both, the impact of survey design will depend on the quantity and the subgroups of the population estimated, if any. Furthermore using weights to reflect non-response or unequal probability of selection also affect the precision of estimations - often negatively - and this should ideally be also taken into account when computing estimates.</w:t>
      </w:r>
    </w:p>
    <w:p>
      <w:pPr>
        <w:pStyle w:val="BodyText"/>
      </w:pPr>
      <w:r>
        <w:t xml:space="preserve">Traditional textbooks or introductory courses tend to leave out this aspect, which may give a false impression of simplicity to users. There are traditionally two main ways to produce population estimates from surveys while accounting for sample design: either by directly using methods that correct estimates for the characteristics of the sample - also known a</w:t>
      </w:r>
      <w:r>
        <w:t xml:space="preserve"> </w:t>
      </w:r>
      <w:r>
        <w:rPr>
          <w:iCs/>
          <w:i/>
        </w:rPr>
        <w:t xml:space="preserve">design-based estimation</w:t>
      </w:r>
      <w:r>
        <w:t xml:space="preserve"> </w:t>
      </w:r>
      <w:r>
        <w:t xml:space="preserve">- or by modelling the effect of sample design - the</w:t>
      </w:r>
      <w:r>
        <w:t xml:space="preserve"> </w:t>
      </w:r>
      <w:r>
        <w:rPr>
          <w:iCs/>
          <w:i/>
        </w:rPr>
        <w:t xml:space="preserve">model-based approach</w:t>
      </w:r>
      <w:r>
        <w:t xml:space="preserve">. Both have advantages and downsides, but for now we will only focus on the design based approach as it tends to be more straightforward to use.</w:t>
      </w:r>
    </w:p>
    <w:bookmarkStart w:id="31" w:name="survey-design-variables"/>
    <w:p>
      <w:pPr>
        <w:pStyle w:val="Heading2"/>
      </w:pPr>
      <w:r>
        <w:t xml:space="preserve">2.1 Survey design variables</w:t>
      </w:r>
    </w:p>
    <w:p>
      <w:pPr>
        <w:pStyle w:val="FirstParagraph"/>
      </w:pPr>
      <w:r>
        <w:rPr>
          <w:iCs/>
          <w:i/>
        </w:rPr>
        <w:t xml:space="preserve">Weights</w:t>
      </w:r>
      <w:r>
        <w:t xml:space="preserve"> </w:t>
      </w:r>
      <w:r>
        <w:t xml:space="preserve">are a special type of numeric variables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Rather confusingly, these components are sometimes labelled</w:t>
      </w:r>
      <w:r>
        <w:t xml:space="preserve"> </w:t>
      </w:r>
      <w:r>
        <w:t xml:space="preserve">‘</w:t>
      </w:r>
      <w:r>
        <w:t xml:space="preserve">weights</w:t>
      </w:r>
      <w:r>
        <w:t xml:space="preserve">’</w:t>
      </w:r>
      <w:r>
        <w:t xml:space="preserve"> </w:t>
      </w:r>
      <w:r>
        <w:t xml:space="preserve">in their own right, even if in practice they are most of the time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p>
      <w:pPr>
        <w:pStyle w:val="BodyText"/>
      </w:pPr>
      <w:r>
        <w:rPr>
          <w:iCs/>
          <w:i/>
        </w:rPr>
        <w:t xml:space="preserve">Survey design variables</w:t>
      </w:r>
      <w:r>
        <w:t xml:space="preserve"> </w:t>
      </w:r>
      <w:r>
        <w:t xml:space="preserve">typically consist of identifiers for the strata and/or clusters used when the sample was drawn, especially the Primary Sampling Units (PSU) used during the sampling process. Used in conjunction with weights, they enable researchers to produce more accurate estimates.</w:t>
      </w:r>
    </w:p>
    <w:bookmarkEnd w:id="31"/>
    <w:bookmarkStart w:id="32" w:name="design-effects-and-design-factors"/>
    <w:p>
      <w:pPr>
        <w:pStyle w:val="Heading2"/>
      </w:pPr>
      <w:r>
        <w:t xml:space="preserve">2.2 Design effects and design factors</w:t>
      </w:r>
    </w:p>
    <w:p>
      <w:pPr>
        <w:pStyle w:val="FirstParagraph"/>
      </w:pPr>
      <w:r>
        <w:t xml:space="preserve">Whereas most surveys curated by UKDS include weights, survey design variables are not always provided by data producers often due to data protection concerns. This leaves users with having to rely on alternative solutions to reduce variance estimation bias.</w:t>
      </w:r>
      <w:r>
        <w:t xml:space="preserve"> </w:t>
      </w:r>
      <w:r>
        <w:rPr>
          <w:iCs/>
          <w:i/>
        </w:rPr>
        <w:t xml:space="preserve">Design effect</w:t>
      </w:r>
      <w:r>
        <w:t xml:space="preserve"> </w:t>
      </w:r>
      <w:r>
        <w:t xml:space="preserve">(also know as DEFF or</w:t>
      </w:r>
      <w:r>
        <w:t xml:space="preserve"> </w:t>
      </w:r>
      <m:oMath>
        <m:sSub>
          <m:e>
            <m:r>
              <m:t>D</m:t>
            </m:r>
          </m:e>
          <m:sub>
            <m:r>
              <m:t>e</m:t>
            </m:r>
            <m:r>
              <m:t>f</m:t>
            </m:r>
            <m:r>
              <m:t>f</m:t>
            </m:r>
          </m:sub>
        </m:sSub>
      </m:oMath>
      <w:r>
        <w:t xml:space="preserve">) and/or Design factors (</w:t>
      </w:r>
      <m:oMath>
        <m:sSub>
          <m:e>
            <m:r>
              <m:t>D</m:t>
            </m:r>
          </m:e>
          <m:sub>
            <m:r>
              <m:t>e</m:t>
            </m:r>
            <m:r>
              <m:t>f</m:t>
            </m:r>
            <m:r>
              <m:t>t</m:t>
            </m:r>
          </m:sub>
        </m:sSub>
      </m:oMath>
      <w:r>
        <w:t xml:space="preserve">) may provide a partial solution in such scenarios.</w:t>
      </w:r>
      <w:r>
        <w:t xml:space="preserve"> </w:t>
      </w:r>
      <m:oMath>
        <m:sSub>
          <m:e>
            <m:r>
              <m:t>D</m:t>
            </m:r>
          </m:e>
          <m:sub>
            <m:r>
              <m:t>e</m:t>
            </m:r>
            <m:r>
              <m:t>f</m:t>
            </m:r>
            <m:r>
              <m:t>f</m:t>
            </m:r>
          </m:sub>
        </m:sSub>
      </m:oMath>
      <w:r>
        <w:t xml:space="preserve"> </w:t>
      </w:r>
      <w:r>
        <w:t xml:space="preserve">and</w:t>
      </w:r>
      <w:r>
        <w:t xml:space="preserve"> </w:t>
      </w:r>
      <m:oMath>
        <m:sSub>
          <m:e>
            <m:r>
              <m:t>D</m:t>
            </m:r>
          </m:e>
          <m:sub>
            <m:r>
              <m:t>e</m:t>
            </m:r>
            <m:r>
              <m:t>f</m:t>
            </m:r>
            <m:r>
              <m:t>t</m:t>
            </m:r>
          </m:sub>
        </m:sSub>
      </m:oMath>
      <w:r>
        <w:t xml:space="preserve"> </w:t>
      </w:r>
      <w:r>
        <w:t xml:space="preserve">are two versions of a coefficient which attempts to measure the extent to which the standard error of an estimate given the current survey design differs from what it would have been under simple random sampling</w:t>
      </w:r>
      <w:r>
        <w:t xml:space="preserve"> </w:t>
      </w:r>
      <w:r>
        <w:t xml:space="preserve">(Kish 1995)</w:t>
      </w:r>
      <w:r>
        <w:t xml:space="preserve">. They can therefore be used to broadly assess how sample design affect the precision of a particular set of estimates as well as enabling users to manually correct standard errors and confidence intervals produced under the assumption of simple random sampling. Formally, the</w:t>
      </w:r>
      <w:r>
        <w:t xml:space="preserve"> </w:t>
      </w:r>
      <m:oMath>
        <m:sSub>
          <m:e>
            <m:r>
              <m:t>D</m:t>
            </m:r>
          </m:e>
          <m:sub>
            <m:r>
              <m:t>e</m:t>
            </m:r>
            <m:r>
              <m:t>f</m:t>
            </m:r>
            <m:r>
              <m:t>f</m:t>
            </m:r>
          </m:sub>
        </m:sSub>
      </m:oMath>
      <w:r>
        <w:t xml:space="preserve"> </w:t>
      </w:r>
      <w:r>
        <w:t xml:space="preserve">is defined as the ratio of the variance of an estimated parameter of interest to the same variance computed under the assumption of simple random sampling.The</w:t>
      </w:r>
      <w:r>
        <w:t xml:space="preserve"> </w:t>
      </w:r>
      <m:oMath>
        <m:sSub>
          <m:e>
            <m:r>
              <m:t>D</m:t>
            </m:r>
          </m:e>
          <m:sub>
            <m:r>
              <m:t>e</m:t>
            </m:r>
            <m:r>
              <m:t>f</m:t>
            </m:r>
            <m:r>
              <m:t>t</m:t>
            </m:r>
          </m:sub>
        </m:sSub>
      </m:oMath>
      <w:r>
        <w:t xml:space="preserve"> </w:t>
      </w:r>
      <w:r>
        <w:t xml:space="preserve">by contrast is the square root of the Design Effect. A</w:t>
      </w:r>
      <w:r>
        <w:t xml:space="preserve"> </w:t>
      </w:r>
      <m:oMath>
        <m:sSub>
          <m:e>
            <m:r>
              <m:t>D</m:t>
            </m:r>
          </m:e>
          <m:sub>
            <m:r>
              <m:t>e</m:t>
            </m:r>
            <m:r>
              <m:t>f</m:t>
            </m:r>
            <m:r>
              <m:t>f</m:t>
            </m:r>
          </m:sub>
        </m:sSub>
      </m:oMath>
      <w:r>
        <w:t xml:space="preserve"> </w:t>
      </w:r>
      <w:r>
        <w:t xml:space="preserve">with a value</w:t>
      </w:r>
      <w:r>
        <w:t xml:space="preserve"> </w:t>
      </w:r>
      <m:oMath>
        <m:r>
          <m:rPr>
            <m:sty m:val="p"/>
          </m:rPr>
          <m:t>&lt;</m:t>
        </m:r>
        <m:r>
          <m:t>1</m:t>
        </m:r>
      </m:oMath>
      <w:r>
        <w:t xml:space="preserve"> </w:t>
      </w:r>
      <w:r>
        <w:t xml:space="preserve">indicates an smaller variance than under SRS, therefore an improvement in precision, whereas a value</w:t>
      </w:r>
      <w:r>
        <w:t xml:space="preserve"> </w:t>
      </w:r>
      <m:oMath>
        <m:r>
          <m:rPr>
            <m:sty m:val="p"/>
          </m:rPr>
          <m:t>&gt;</m:t>
        </m:r>
        <m:r>
          <m:t>1</m:t>
        </m:r>
      </m:oMath>
      <w:r>
        <w:t xml:space="preserve"> </w:t>
      </w:r>
      <w:r>
        <w:t xml:space="preserve">indicates a loss of precision. Data producers sometimes provides Design factor estimates that can be used to correct biased standard error or confidence intervals.</w:t>
      </w:r>
    </w:p>
    <w:bookmarkEnd w:id="32"/>
    <w:bookmarkEnd w:id="33"/>
    <w:bookmarkStart w:id="40" w:name="X0cc6c7277f1dc2387a5c95733698681c2ef07bd"/>
    <w:p>
      <w:pPr>
        <w:pStyle w:val="Heading1"/>
      </w:pPr>
      <w:r>
        <w:t xml:space="preserve">3. The practice of inference: things to keep in mind</w:t>
      </w:r>
    </w:p>
    <w:p>
      <w:pPr>
        <w:pStyle w:val="FirstParagraph"/>
      </w:pPr>
      <w:r>
        <w:t xml:space="preserve">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bookmarkStart w:id="35" w:name="data-availability"/>
    <w:p>
      <w:pPr>
        <w:pStyle w:val="Heading2"/>
      </w:pPr>
      <w:r>
        <w:t xml:space="preserve">3.1 Data availability</w:t>
      </w:r>
    </w:p>
    <w:p>
      <w:pPr>
        <w:pStyle w:val="FirstParagraph"/>
      </w:pPr>
      <w:r>
        <w:t xml:space="preserve">Most UKDS datasets are available under</w:t>
      </w:r>
      <w:r>
        <w:t xml:space="preserve"> </w:t>
      </w:r>
      <w:r>
        <w:rPr>
          <w:iCs/>
          <w:i/>
        </w:rPr>
        <w:t xml:space="preserve">End User License (EUL)</w:t>
      </w:r>
      <w:r>
        <w:t xml:space="preserve">. This presents the advantage of enabling large numbers of users to access data with a minimal level of formalities to go through but comes at the significant cost that survey design variables are often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34">
        <w:r>
          <w:rPr>
            <w:rStyle w:val="Hyperlink"/>
          </w:rPr>
          <w:t xml:space="preserve">UKDS website</w:t>
        </w:r>
      </w:hyperlink>
      <w:r>
        <w:t xml:space="preserve">. There are also a large number of studies for which such controlled access is not available. The consequence is that in a significant number of cases, there will inevitably be limitations to the level of precision of the estimates most will be able to produce.</w:t>
      </w:r>
    </w:p>
    <w:bookmarkEnd w:id="35"/>
    <w:bookmarkStart w:id="36" w:name="sensitivity-of-the-analysis"/>
    <w:p>
      <w:pPr>
        <w:pStyle w:val="Heading2"/>
      </w:pPr>
      <w:r>
        <w:t xml:space="preserve">3.2 Sensitivity of the analysis</w:t>
      </w:r>
    </w:p>
    <w:p>
      <w:pPr>
        <w:pStyle w:val="FirstParagraph"/>
      </w:pPr>
      <w:r>
        <w:t xml:space="preserve">Not all analyses necessarily require the highest degree of precision. Reflecting on the stakes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36"/>
    <w:bookmarkStart w:id="37" w:name="complexity-of-the-analysis"/>
    <w:p>
      <w:pPr>
        <w:pStyle w:val="Heading2"/>
      </w:pPr>
      <w:r>
        <w:t xml:space="preserve">3.3 Complexity of the analysis</w:t>
      </w:r>
    </w:p>
    <w:p>
      <w:pPr>
        <w:pStyle w:val="FirstParagraph"/>
      </w:pPr>
      <w:r>
        <w:t xml:space="preserve">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37"/>
    <w:bookmarkStart w:id="38" w:name="software-issues"/>
    <w:p>
      <w:pPr>
        <w:pStyle w:val="Heading2"/>
      </w:pPr>
      <w:r>
        <w:t xml:space="preserve">3.4 Software issues</w:t>
      </w:r>
    </w:p>
    <w:p>
      <w:pPr>
        <w:pStyle w:val="FirstParagraph"/>
      </w:pPr>
      <w:r>
        <w:t xml:space="preserve">Most statistical analysis software include commands specifically designed to analyse survey data: such is the case of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However, because weighting can be used in other contexts than inference from surveys, most statistical software also have options for directly weighting estimation commands</w:t>
      </w:r>
      <w:r>
        <w:t xml:space="preserve"> </w:t>
      </w:r>
      <w:r>
        <w:t xml:space="preserve">“</w:t>
      </w:r>
      <w:r>
        <w:t xml:space="preserve">on the fly</w:t>
      </w:r>
      <w:r>
        <w:t xml:space="preserve">”</w:t>
      </w:r>
      <w:r>
        <w:t xml:space="preserve"> </w:t>
      </w:r>
      <w:r>
        <w:t xml:space="preserve">outside of procedures accounting for survey design. This can lead some users to solely rely on weighted commands without explicitly declaring the survey design in their analysis which potentially raises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38"/>
    <w:bookmarkStart w:id="39" w:name="what-are-we-in-fact-estimating"/>
    <w:p>
      <w:pPr>
        <w:pStyle w:val="Heading2"/>
      </w:pPr>
      <w:r>
        <w:t xml:space="preserve">3.5 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39"/>
    <w:bookmarkEnd w:id="40"/>
    <w:bookmarkStart w:id="44" w:name="X3d3256f20a04ac299e2a7163fdc86ea01ff8ec6"/>
    <w:p>
      <w:pPr>
        <w:pStyle w:val="Heading1"/>
      </w:pPr>
      <w:r>
        <w:t xml:space="preserve">4. Statistical inference from survey data in practice</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about how results may be affected. Using survey-specific estimation commands even in the absence of survey design variables is a recommended option over simply applying weights to standard commands, as it will avoid getting incorrect estimates (SAS and SPSS), is the only option available for computation with survey weights or obtaining confidence intervals (Stata), or coherent survey data analysis (R). In addition, it might be possible to correct</w:t>
      </w:r>
      <w:r>
        <w:t xml:space="preserve"> </w:t>
      </w:r>
      <w:r>
        <w:t xml:space="preserve">‘</w:t>
      </w:r>
      <w:r>
        <w:t xml:space="preserve">by hand</w:t>
      </w:r>
      <w:r>
        <w:t xml:space="preserve">’</w:t>
      </w:r>
      <w:r>
        <w:t xml:space="preserve"> </w:t>
      </w:r>
      <w:r>
        <w:t xml:space="preserve">biased standard errors or confidence interval using data producer-provided design factors.</w:t>
      </w:r>
    </w:p>
    <w:p>
      <w:pPr>
        <w:numPr>
          <w:ilvl w:val="0"/>
          <w:numId w:val="1004"/>
        </w:numPr>
      </w:pPr>
      <w:r>
        <w:t xml:space="preserve">It can be understandable that when survey design variables are not available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not guarantee that this will be the case. Overall UKDS only recommend following this strategy in case of low sensitivity analysis.</w:t>
      </w:r>
    </w:p>
    <w:p>
      <w:pPr>
        <w:numPr>
          <w:ilvl w:val="0"/>
          <w:numId w:val="1004"/>
        </w:numPr>
      </w:pPr>
      <w:r>
        <w:t xml:space="preserve">As population estimates produced without weights or survey design variables will almost certainly be unreliable</w:t>
      </w:r>
      <w:r>
        <w:t xml:space="preserve"> </w:t>
      </w:r>
      <w:r>
        <w:rPr>
          <w:iCs/>
          <w:i/>
        </w:rPr>
        <w:t xml:space="preserve">Strategy 4</w:t>
      </w:r>
      <w:r>
        <w:t xml:space="preserve"> </w:t>
      </w:r>
      <w:r>
        <w:t xml:space="preserve">should be discouraged except when data usage is purely descriptive. For example when teaching non-inferential (ie descriptive) statistical techniques.</w:t>
      </w:r>
    </w:p>
    <w:bookmarkStart w:id="42" w:name="Xdd49177bde54fd22d4b990a4d18fcbed9691a2f"/>
    <w:p>
      <w:pPr>
        <w:pStyle w:val="Heading2"/>
      </w:pPr>
      <w:r>
        <w:t xml:space="preserve">4.1 Medium to high sensitivity analysis: workflow</w:t>
      </w:r>
    </w:p>
    <w:p>
      <w:pPr>
        <w:pStyle w:val="FirstParagraph"/>
      </w:pPr>
      <w:r>
        <w:t xml:space="preserve">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could involve (see examples in Section 5):</w:t>
      </w:r>
    </w:p>
    <w:p>
      <w:pPr>
        <w:numPr>
          <w:ilvl w:val="0"/>
          <w:numId w:val="1006"/>
        </w:numPr>
        <w:pStyle w:val="Compact"/>
      </w:pPr>
      <w:r>
        <w:t xml:space="preserve">Finding out about the survey design and identify the relevant weights and survey design variables in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41">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in:</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 ;</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bookmarkEnd w:id="42"/>
    <w:bookmarkStart w:id="43" w:name="lower-sensitivity-analysis"/>
    <w:p>
      <w:pPr>
        <w:pStyle w:val="Heading2"/>
      </w:pPr>
      <w:r>
        <w:t xml:space="preserve">4.2 Lower sensitivity analysis</w:t>
      </w:r>
    </w:p>
    <w:p>
      <w:pPr>
        <w:pStyle w:val="FirstParagraph"/>
      </w:pPr>
      <w:r>
        <w:t xml:space="preserve">The UKDS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p>
      <w:pPr>
        <w:pStyle w:val="BodyText"/>
      </w:pPr>
      <w:r>
        <w:t xml:space="preserve">(</w:t>
      </w:r>
      <w:r>
        <w:rPr>
          <w:bCs/>
          <w:b/>
        </w:rPr>
        <w:t xml:space="preserve">PierreWal?</w:t>
      </w:r>
      <w:r>
        <w:t xml:space="preserve">)</w:t>
      </w:r>
      <w:r>
        <w:t xml:space="preserve"> </w:t>
      </w:r>
      <w:r>
        <w:t xml:space="preserve">: here too</w:t>
      </w:r>
    </w:p>
    <w:bookmarkEnd w:id="43"/>
    <w:bookmarkEnd w:id="44"/>
    <w:bookmarkStart w:id="58" w:name="r-examples"/>
    <w:p>
      <w:pPr>
        <w:pStyle w:val="Heading1"/>
      </w:pPr>
      <w:r>
        <w:t xml:space="preserve">5. R examples</w:t>
      </w:r>
    </w:p>
    <w:p>
      <w:pPr>
        <w:pStyle w:val="FirstParagraph"/>
      </w:pPr>
      <w:r>
        <w:t xml:space="preserve">The R</w:t>
      </w:r>
      <w:r>
        <w:t xml:space="preserve"> </w:t>
      </w:r>
      <w:r>
        <w:rPr>
          <w:iCs/>
          <w:i/>
        </w:rPr>
        <w:t xml:space="preserve">Survey</w:t>
      </w:r>
      <w:r>
        <w:t xml:space="preserve"> </w:t>
      </w:r>
      <w:r>
        <w:t xml:space="preserve">package</w:t>
      </w:r>
      <w:r>
        <w:t xml:space="preserve"> </w:t>
      </w:r>
      <w:r>
        <w:t xml:space="preserve">(Lumley 2023)</w:t>
      </w:r>
      <w:r>
        <w:t xml:space="preserve"> </w:t>
      </w:r>
      <w:r>
        <w:t xml:space="preserve">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pPr>
        <w:pStyle w:val="BodyText"/>
      </w:pPr>
      <w:r>
        <w:t xml:space="preserve">In this example, we will practice statistical inference with data from the</w:t>
      </w:r>
      <w:r>
        <w:t xml:space="preserve"> </w:t>
      </w:r>
      <w:hyperlink r:id="rId45">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issues of the BSA include survey design variables.</w:t>
      </w:r>
    </w:p>
    <w:bookmarkStart w:id="46" w:name="X7203a45f3c91fc0a0bff0fed440c9152c76985f"/>
    <w:p>
      <w:pPr>
        <w:pStyle w:val="Heading2"/>
      </w:pPr>
      <w:r>
        <w:t xml:space="preserve">5.1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The file may need to be decompressed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46"/>
    <w:bookmarkStart w:id="47" w:name="specifying-the-survey-design"/>
    <w:p>
      <w:pPr>
        <w:pStyle w:val="Heading2"/>
      </w:pPr>
      <w:r>
        <w:t xml:space="preserve">5.2 Specifying the survey design</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rPr>
          <w:rStyle w:val="FunctionTok"/>
        </w:rPr>
        <w:t xml:space="preserve">library</w:t>
      </w:r>
      <w:r>
        <w:rPr>
          <w:rStyle w:val="NormalTok"/>
        </w:rPr>
        <w:t xml:space="preserve">(kableExtra)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"~/Dropbox/work/UKDS/data/UKDA-8450-spss/spss/spss25/bsa2017_for_ukda.sav"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[1] 3988  580</w:t>
      </w:r>
    </w:p>
    <w:p>
      <w:pPr>
        <w:pStyle w:val="FirstParagraph"/>
      </w:pPr>
      <w:r>
        <w:t xml:space="preserve">We can specify the survey design earlier identified in the data documentation: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survey design informed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bookmarkEnd w:id="47"/>
    <w:bookmarkStart w:id="48" w:name="mean-age-and-its-95-confidence-interval"/>
    <w:p>
      <w:pPr>
        <w:pStyle w:val="Heading2"/>
      </w:pPr>
      <w:r>
        <w:t xml:space="preserve">5.3 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RAgeE             </w:t>
      </w:r>
      <w:r>
        <w:br/>
      </w:r>
      <w:r>
        <w:rPr>
          <w:rStyle w:val="VerbatimChar"/>
        </w:rPr>
        <w:t xml:space="preserve"> 48.3  47.5  49.1 </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0"/>
        </w:numPr>
        <w:pStyle w:val="Compact"/>
      </w:pPr>
      <w:r>
        <w:t xml:space="preserve">inferring the mean value of the population age?</w:t>
      </w:r>
    </w:p>
    <w:p>
      <w:pPr>
        <w:numPr>
          <w:ilvl w:val="0"/>
          <w:numId w:val="1010"/>
        </w:numPr>
        <w:pStyle w:val="Compact"/>
      </w:pPr>
      <w:r>
        <w:t xml:space="preserve">inferring the uncertainty of our estimate of the population age?</w:t>
      </w:r>
    </w:p>
    <w:bookmarkEnd w:id="48"/>
    <w:bookmarkStart w:id="49" w:name="X3b3e6dffe2895ec3be1cc4cb44e7f82f0f93951"/>
    <w:p>
      <w:pPr>
        <w:pStyle w:val="Heading2"/>
      </w:pPr>
      <w:r>
        <w:t xml:space="preserve">5.4 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Politics == 1 | Politics == 2</w:t>
      </w:r>
      <w:r>
        <w:br/>
      </w:r>
      <w:r>
        <w:rPr>
          <w:rStyle w:val="VerbatimChar"/>
        </w:rPr>
        <w:t xml:space="preserve">FALSE  TRUE </w:t>
      </w:r>
      <w:r>
        <w:br/>
      </w:r>
      <w:r>
        <w:rPr>
          <w:rStyle w:val="VerbatimChar"/>
        </w:rPr>
        <w:t xml:space="preserve">   57    43 </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 </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49"/>
    <w:bookmarkStart w:id="50" w:name="computing-domain-estimates"/>
    <w:p>
      <w:pPr>
        <w:pStyle w:val="Heading2"/>
      </w:pPr>
      <w:r>
        <w:t xml:space="preserve">5.5 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1"/>
        </w:numPr>
        <w:pStyle w:val="Compact"/>
      </w:pPr>
      <w:r>
        <w:t xml:space="preserve">The outcome variable whose estimate we want to compute: ie</w:t>
      </w:r>
      <w:r>
        <w:t xml:space="preserve"> </w:t>
      </w:r>
      <w:r>
        <w:rPr>
          <w:rStyle w:val="VerbatimChar"/>
        </w:rPr>
        <w:t xml:space="preserve">RAgeE</w:t>
      </w:r>
    </w:p>
    <w:p>
      <w:pPr>
        <w:numPr>
          <w:ilvl w:val="0"/>
          <w:numId w:val="1011"/>
        </w:numPr>
        <w:pStyle w:val="Compact"/>
      </w:pPr>
      <w:r>
        <w:t xml:space="preserve">The grouping variable(s)</w:t>
      </w:r>
      <w:r>
        <w:t xml:space="preserve"> </w:t>
      </w:r>
      <w:r>
        <w:rPr>
          <w:rStyle w:val="VerbatimChar"/>
        </w:rPr>
        <w:t xml:space="preserve">GOR_ID</w:t>
      </w:r>
    </w:p>
    <w:p>
      <w:pPr>
        <w:numPr>
          <w:ilvl w:val="0"/>
          <w:numId w:val="1011"/>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1"/>
        </w:numPr>
        <w:pStyle w:val="Compact"/>
      </w:pPr>
      <w:r>
        <w:t xml:space="preserve">And the type of type of variance estimation we would like to see displayed ie standard errors or confidence interval</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A North East                                           33.4 26.6 40.9</w:t>
      </w:r>
      <w:r>
        <w:br/>
      </w:r>
      <w:r>
        <w:rPr>
          <w:rStyle w:val="VerbatimChar"/>
        </w:rPr>
        <w:t xml:space="preserve">B North West                                           41.9 36.1 48.0</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2"/>
        </w:numPr>
      </w:pPr>
      <w:r>
        <w:t xml:space="preserve">Produce a table of results showing the proportion of respondents significantly interested in Politics by age group and gender</w:t>
      </w:r>
    </w:p>
    <w:p>
      <w:pPr>
        <w:numPr>
          <w:ilvl w:val="0"/>
          <w:numId w:val="1012"/>
        </w:numPr>
      </w:pPr>
      <w:r>
        <w:t xml:space="preserve">Assess whether the age difference in interest for politics is similar for each gender?</w:t>
      </w:r>
    </w:p>
    <w:p>
      <w:pPr>
        <w:numPr>
          <w:ilvl w:val="0"/>
          <w:numId w:val="1012"/>
        </w:numPr>
      </w:pPr>
      <w:r>
        <w:t xml:space="preserve">Based on the data, is it fair to say that men aged under 35 tend to be more likely to declare themselves interested in politics than women aged 55 and above?</w:t>
      </w:r>
    </w:p>
    <w:bookmarkEnd w:id="50"/>
    <w:bookmarkStart w:id="57" w:name="Xdaddd4dd65deaee2b927ca2e734fb7289d49bc3"/>
    <w:p>
      <w:pPr>
        <w:pStyle w:val="Heading2"/>
      </w:pPr>
      <w:r>
        <w:t xml:space="preserve">5.6 Inference without survey design variables using R</w:t>
      </w:r>
    </w:p>
    <w:p>
      <w:pPr>
        <w:pStyle w:val="FirstParagraph"/>
      </w:pPr>
      <w:r>
        <w:rPr>
          <w:iCs/>
          <w:i/>
        </w:rPr>
        <w:t xml:space="preserve">Example: count and proportion of the regional population of the UK using the LFS with End User License (EUL)</w:t>
      </w:r>
    </w:p>
    <w:p>
      <w:pPr>
        <w:pStyle w:val="BodyText"/>
      </w:pPr>
      <w:r>
        <w:t xml:space="preserve">As a rule, EUL versions of the LFS do not include sample design variables. On the other hand they come with two weight variables:</w:t>
      </w:r>
    </w:p>
    <w:p>
      <w:pPr>
        <w:numPr>
          <w:ilvl w:val="0"/>
          <w:numId w:val="1013"/>
        </w:numPr>
        <w:pStyle w:val="Compact"/>
      </w:pPr>
      <w:r>
        <w:rPr>
          <w:rStyle w:val="VerbatimChar"/>
        </w:rPr>
        <w:t xml:space="preserve">pwt22</w:t>
      </w:r>
      <w:r>
        <w:t xml:space="preserve"> </w:t>
      </w:r>
      <w:r>
        <w:t xml:space="preserve">for estimation with the whole sample</w:t>
      </w:r>
    </w:p>
    <w:p>
      <w:pPr>
        <w:numPr>
          <w:ilvl w:val="0"/>
          <w:numId w:val="1013"/>
        </w:numPr>
        <w:pStyle w:val="Compact"/>
      </w:pPr>
      <w:r>
        <w:rPr>
          <w:rStyle w:val="VerbatimChar"/>
        </w:rPr>
        <w:t xml:space="preserve">piwt22</w:t>
      </w:r>
      <w:r>
        <w:t xml:space="preserve"> </w:t>
      </w:r>
      <w:r>
        <w:t xml:space="preserve">for estimation using respondents currently in employment (typically used for earnings estimation)</w:t>
      </w:r>
    </w:p>
    <w:p>
      <w:pPr>
        <w:pStyle w:val="FirstParagraph"/>
      </w:pPr>
      <w:r>
        <w:t xml:space="preserve">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pPr>
        <w:pStyle w:val="BodyText"/>
      </w:pPr>
      <w:r>
        <w:t xml:space="preserve">The Office for National Statistics regularly publishes such tables for the LFS, albeit mostly for their headline statistics. Obtaining further design effects for subpopulations might not be straighforward. The overall methodology is described</w:t>
      </w:r>
      <w:r>
        <w:t xml:space="preserve"> </w:t>
      </w:r>
      <w:hyperlink r:id="rId51">
        <w:r>
          <w:rPr>
            <w:rStyle w:val="Hyperlink"/>
          </w:rPr>
          <w:t xml:space="preserve">in this note</w:t>
        </w:r>
      </w:hyperlink>
      <w:r>
        <w:t xml:space="preserve">, and updated tables are provided</w:t>
      </w:r>
      <w:r>
        <w:t xml:space="preserve"> </w:t>
      </w:r>
      <w:hyperlink r:id="rId52">
        <w:r>
          <w:rPr>
            <w:rStyle w:val="Hyperlink"/>
          </w:rPr>
          <w:t xml:space="preserve">on this page</w:t>
        </w:r>
      </w:hyperlink>
      <w:r>
        <w:t xml:space="preserve">.</w:t>
      </w:r>
    </w:p>
    <w:p>
      <w:pPr>
        <w:pStyle w:val="BodyText"/>
      </w:pPr>
      <w:r>
        <w:t xml:space="preserve">Let’s see how this can be achieved. But first, let’s produce uncorrected</w:t>
      </w:r>
      <w:r>
        <w:t xml:space="preserve"> </w:t>
      </w:r>
      <w:r>
        <w:t xml:space="preserve">‘</w:t>
      </w:r>
      <w:r>
        <w:t xml:space="preserve">naive</w:t>
      </w:r>
      <w:r>
        <w:t xml:space="preserve">’</w:t>
      </w:r>
      <w:r>
        <w:t xml:space="preserve"> </w:t>
      </w:r>
      <w:r>
        <w:t xml:space="preserve">estimates of the regional population.</w:t>
      </w:r>
    </w:p>
    <w:p>
      <w:pPr>
        <w:pStyle w:val="SourceCode"/>
      </w:pPr>
      <w:r>
        <w:rPr>
          <w:rStyle w:val="NormalTok"/>
        </w:rPr>
        <w:t xml:space="preserve">lfs</w:t>
      </w:r>
      <w:r>
        <w:rPr>
          <w:rStyle w:val="OtherTok"/>
        </w:rPr>
        <w:t xml:space="preserve">&lt;-</w:t>
      </w:r>
      <w:r>
        <w:rPr>
          <w:rStyle w:val="FunctionTok"/>
        </w:rPr>
        <w:t xml:space="preserve">read_dta</w:t>
      </w:r>
      <w:r>
        <w:rPr>
          <w:rStyle w:val="NormalTok"/>
        </w:rPr>
        <w:t xml:space="preserve">(</w:t>
      </w:r>
      <w:r>
        <w:rPr>
          <w:rStyle w:val="StringTok"/>
        </w:rPr>
        <w:t xml:space="preserve">"~/Dropbox/work/UKDS/data/UKDA-8999-stata/lfsp_aj22_eul_pwt22.dta"</w:t>
      </w:r>
      <w:r>
        <w:rPr>
          <w:rStyle w:val="NormalTok"/>
        </w:rPr>
        <w:t xml:space="preserve">)</w:t>
      </w:r>
      <w:r>
        <w:rPr>
          <w:rStyle w:val="SpecialCharTok"/>
        </w:rPr>
        <w:t xml:space="preserve">%&gt;%</w:t>
      </w:r>
      <w:r>
        <w:rPr>
          <w:rStyle w:val="FunctionTok"/>
        </w:rPr>
        <w:t xml:space="preserve">select</w:t>
      </w:r>
      <w:r>
        <w:rPr>
          <w:rStyle w:val="NormalTok"/>
        </w:rPr>
        <w:t xml:space="preserve">(PWT22,PIWT22,URESMC,ILODEFR)</w:t>
      </w:r>
      <w:r>
        <w:br/>
      </w:r>
      <w:r>
        <w:rPr>
          <w:rStyle w:val="FunctionTok"/>
        </w:rPr>
        <w:t xml:space="preserve">names</w:t>
      </w:r>
      <w:r>
        <w:rPr>
          <w:rStyle w:val="NormalTok"/>
        </w:rPr>
        <w:t xml:space="preserve">(lfs)</w:t>
      </w:r>
      <w:r>
        <w:rPr>
          <w:rStyle w:val="OtherTok"/>
        </w:rPr>
        <w:t xml:space="preserve">&lt;-</w:t>
      </w:r>
      <w:r>
        <w:rPr>
          <w:rStyle w:val="FunctionTok"/>
        </w:rPr>
        <w:t xml:space="preserve">tolower</w:t>
      </w:r>
      <w:r>
        <w:rPr>
          <w:rStyle w:val="NormalTok"/>
        </w:rPr>
        <w:t xml:space="preserve">(</w:t>
      </w:r>
      <w:r>
        <w:rPr>
          <w:rStyle w:val="FunctionTok"/>
        </w:rPr>
        <w:t xml:space="preserve">names</w:t>
      </w:r>
      <w:r>
        <w:rPr>
          <w:rStyle w:val="NormalTok"/>
        </w:rPr>
        <w:t xml:space="preserve">(lfs))</w:t>
      </w:r>
      <w:r>
        <w:br/>
      </w:r>
      <w:r>
        <w:rPr>
          <w:rStyle w:val="NormalTok"/>
        </w:rPr>
        <w:t xml:space="preserve">lfs</w:t>
      </w:r>
      <w:r>
        <w:rPr>
          <w:rStyle w:val="SpecialCharTok"/>
        </w:rPr>
        <w:t xml:space="preserve">$</w:t>
      </w:r>
      <w:r>
        <w:rPr>
          <w:rStyle w:val="NormalTok"/>
        </w:rPr>
        <w:t xml:space="preserve">uresmc.f</w:t>
      </w:r>
      <w:r>
        <w:rPr>
          <w:rStyle w:val="OtherTok"/>
        </w:rPr>
        <w:t xml:space="preserve">&lt;-</w:t>
      </w:r>
      <w:r>
        <w:rPr>
          <w:rStyle w:val="FunctionTok"/>
        </w:rPr>
        <w:t xml:space="preserve">droplevels</w:t>
      </w:r>
      <w:r>
        <w:rPr>
          <w:rStyle w:val="NormalTok"/>
        </w:rPr>
        <w:t xml:space="preserve">(</w:t>
      </w:r>
      <w:r>
        <w:rPr>
          <w:rStyle w:val="FunctionTok"/>
        </w:rPr>
        <w:t xml:space="preserve">as_factor</w:t>
      </w:r>
      <w:r>
        <w:rPr>
          <w:rStyle w:val="NormalTok"/>
        </w:rPr>
        <w:t xml:space="preserve">(lfs</w:t>
      </w:r>
      <w:r>
        <w:rPr>
          <w:rStyle w:val="SpecialCharTok"/>
        </w:rPr>
        <w:t xml:space="preserve">$</w:t>
      </w:r>
      <w:r>
        <w:rPr>
          <w:rStyle w:val="NormalTok"/>
        </w:rPr>
        <w:t xml:space="preserve">uresmc))</w:t>
      </w:r>
      <w:r>
        <w:br/>
      </w: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uresmc.f,lfs.s)))</w:t>
      </w:r>
    </w:p>
    <w:p>
      <w:pPr>
        <w:pStyle w:val="SourceCode"/>
      </w:pPr>
      <w:r>
        <w:rPr>
          <w:rStyle w:val="VerbatimChar"/>
        </w:rPr>
        <w:t xml:space="preserve">                                     2.5 %  97.5 %</w:t>
      </w:r>
      <w:r>
        <w:br/>
      </w:r>
      <w:r>
        <w:rPr>
          <w:rStyle w:val="VerbatimChar"/>
        </w:rPr>
        <w:t xml:space="preserve">uresmc.fTyne &amp; Wear                 375843  544677</w:t>
      </w:r>
      <w:r>
        <w:br/>
      </w:r>
      <w:r>
        <w:rPr>
          <w:rStyle w:val="VerbatimChar"/>
        </w:rPr>
        <w:t xml:space="preserve">uresmc.fRest of Northern region     679067  875001</w:t>
      </w:r>
      <w:r>
        <w:br/>
      </w:r>
      <w:r>
        <w:rPr>
          <w:rStyle w:val="VerbatimChar"/>
        </w:rPr>
        <w:t xml:space="preserve">uresmc.fSouth Yorkshire             361987  542893</w:t>
      </w:r>
      <w:r>
        <w:br/>
      </w:r>
      <w:r>
        <w:rPr>
          <w:rStyle w:val="VerbatimChar"/>
        </w:rPr>
        <w:t xml:space="preserve">uresmc.fWest Yorkshire              892298 1139996</w:t>
      </w:r>
      <w:r>
        <w:br/>
      </w:r>
      <w:r>
        <w:rPr>
          <w:rStyle w:val="VerbatimChar"/>
        </w:rPr>
        <w:t xml:space="preserve">uresmc.fRest of Yorks &amp; Humberside  688398  901578</w:t>
      </w:r>
      <w:r>
        <w:br/>
      </w:r>
      <w:r>
        <w:rPr>
          <w:rStyle w:val="VerbatimChar"/>
        </w:rPr>
        <w:t xml:space="preserve">uresmc.fEast Midlands              1884931 2240257</w:t>
      </w:r>
      <w:r>
        <w:br/>
      </w:r>
      <w:r>
        <w:rPr>
          <w:rStyle w:val="VerbatimChar"/>
        </w:rPr>
        <w:t xml:space="preserve">uresmc.fEast Anglia                1018147 1293525</w:t>
      </w:r>
      <w:r>
        <w:br/>
      </w:r>
      <w:r>
        <w:rPr>
          <w:rStyle w:val="VerbatimChar"/>
        </w:rPr>
        <w:t xml:space="preserve">uresmc.fInner London               1403277 1950147</w:t>
      </w:r>
      <w:r>
        <w:br/>
      </w:r>
      <w:r>
        <w:rPr>
          <w:rStyle w:val="VerbatimChar"/>
        </w:rPr>
        <w:t xml:space="preserve">uresmc.fOuter London               2061142 2573440</w:t>
      </w:r>
      <w:r>
        <w:br/>
      </w:r>
      <w:r>
        <w:rPr>
          <w:rStyle w:val="VerbatimChar"/>
        </w:rPr>
        <w:t xml:space="preserve">uresmc.fRest of South East         5133587 5816347</w:t>
      </w:r>
      <w:r>
        <w:br/>
      </w:r>
      <w:r>
        <w:rPr>
          <w:rStyle w:val="VerbatimChar"/>
        </w:rPr>
        <w:t xml:space="preserve">uresmc.fSouth West                 2150551 2532611</w:t>
      </w:r>
      <w:r>
        <w:br/>
      </w:r>
      <w:r>
        <w:rPr>
          <w:rStyle w:val="VerbatimChar"/>
        </w:rPr>
        <w:t xml:space="preserve">uresmc.fWest Midlands (met county)  921916 1255744</w:t>
      </w:r>
      <w:r>
        <w:br/>
      </w:r>
      <w:r>
        <w:rPr>
          <w:rStyle w:val="VerbatimChar"/>
        </w:rPr>
        <w:t xml:space="preserve">uresmc.fRest of West Midlands      1249939 1571219</w:t>
      </w:r>
      <w:r>
        <w:br/>
      </w:r>
      <w:r>
        <w:rPr>
          <w:rStyle w:val="VerbatimChar"/>
        </w:rPr>
        <w:t xml:space="preserve">uresmc.fGreater Manchester         1041396 1341426</w:t>
      </w:r>
      <w:r>
        <w:br/>
      </w:r>
      <w:r>
        <w:rPr>
          <w:rStyle w:val="VerbatimChar"/>
        </w:rPr>
        <w:t xml:space="preserve">uresmc.fMerseyside                  473854  749424</w:t>
      </w:r>
      <w:r>
        <w:br/>
      </w:r>
      <w:r>
        <w:rPr>
          <w:rStyle w:val="VerbatimChar"/>
        </w:rPr>
        <w:t xml:space="preserve">uresmc.fRest of North West          929920 1205848</w:t>
      </w:r>
      <w:r>
        <w:br/>
      </w:r>
      <w:r>
        <w:rPr>
          <w:rStyle w:val="VerbatimChar"/>
        </w:rPr>
        <w:t xml:space="preserve">uresmc.fWales                      1101246 1410746</w:t>
      </w:r>
      <w:r>
        <w:br/>
      </w:r>
      <w:r>
        <w:rPr>
          <w:rStyle w:val="VerbatimChar"/>
        </w:rPr>
        <w:t xml:space="preserve">uresmc.fStrathclyde                 722247 1020673</w:t>
      </w:r>
      <w:r>
        <w:br/>
      </w:r>
      <w:r>
        <w:rPr>
          <w:rStyle w:val="VerbatimChar"/>
        </w:rPr>
        <w:t xml:space="preserve">uresmc.fRest of Scotland           1356361 1750183</w:t>
      </w:r>
      <w:r>
        <w:br/>
      </w:r>
      <w:r>
        <w:rPr>
          <w:rStyle w:val="VerbatimChar"/>
        </w:rPr>
        <w:t xml:space="preserve">uresmc.fNorthern Ireland            689076  803340</w:t>
      </w:r>
    </w:p>
    <w:p>
      <w:pPr>
        <w:pStyle w:val="FirstParagraph"/>
      </w:pPr>
      <w:r>
        <w:t xml:space="preserve">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38876"/>
                  <wp:effectExtent b="0" l="0" r="0" t="0"/>
                  <wp:docPr descr="" title="" id="54" name="Picture"/>
                  <a:graphic>
                    <a:graphicData uri="http://schemas.openxmlformats.org/drawingml/2006/picture">
                      <pic:pic>
                        <pic:nvPicPr>
                          <pic:cNvPr descr="pics/lfs_vol1_SE.png" id="55" name="Picture"/>
                          <pic:cNvPicPr>
                            <a:picLocks noChangeArrowheads="1" noChangeAspect="1"/>
                          </pic:cNvPicPr>
                        </pic:nvPicPr>
                        <pic:blipFill>
                          <a:blip r:embed="rId53"/>
                          <a:stretch>
                            <a:fillRect/>
                          </a:stretch>
                        </pic:blipFill>
                        <pic:spPr bwMode="auto">
                          <a:xfrm>
                            <a:off x="0" y="0"/>
                            <a:ext cx="5334000" cy="2638876"/>
                          </a:xfrm>
                          <a:prstGeom prst="rect">
                            <a:avLst/>
                          </a:prstGeom>
                          <a:noFill/>
                          <a:ln w="9525">
                            <a:noFill/>
                            <a:headEnd/>
                            <a:tailEnd/>
                          </a:ln>
                        </pic:spPr>
                      </pic:pic>
                    </a:graphicData>
                  </a:graphic>
                </wp:inline>
              </w:drawing>
            </w:r>
          </w:p>
          <w:p>
            <w:pPr>
              <w:jc w:val="center"/>
            </w:pPr>
            <w:pPr>
              <w:jc w:val="start"/>
              <w:spacing w:before="200"/>
              <w:pStyle w:val="ImageCaption"/>
            </w:pPr>
            <w:r>
              <w:t xml:space="preserve">Test</w:t>
            </w:r>
          </w:p>
        </w:tc>
      </w:tr>
    </w:tbl>
    <w:p>
      <w:pPr>
        <w:pStyle w:val="BodyText"/>
      </w:pPr>
      <w:r>
        <w:t xml:space="preserve">We can see that for some reason, the number regions has been reduced from the original 16 to 13. We therefore need to recode our original variable.</w:t>
      </w:r>
    </w:p>
    <w:p>
      <w:pPr>
        <w:pStyle w:val="SourceCode"/>
      </w:pPr>
      <w:r>
        <w:rPr>
          <w:rStyle w:val="NormalTok"/>
        </w:rPr>
        <w:t xml:space="preserve">lfs</w:t>
      </w:r>
      <w:r>
        <w:rPr>
          <w:rStyle w:val="OtherTok"/>
        </w:rPr>
        <w:t xml:space="preserve">&lt;-</w:t>
      </w:r>
      <w:r>
        <w:rPr>
          <w:rStyle w:val="NormalTok"/>
        </w:rPr>
        <w:t xml:space="preserve">lfs</w:t>
      </w:r>
      <w:r>
        <w:rPr>
          <w:rStyle w:val="SpecialCharTok"/>
        </w:rPr>
        <w:t xml:space="preserve">%&gt;%</w:t>
      </w:r>
      <w:r>
        <w:rPr>
          <w:rStyle w:val="FunctionTok"/>
        </w:rPr>
        <w:t xml:space="preserve">mutate</w:t>
      </w:r>
      <w:r>
        <w:rPr>
          <w:rStyle w:val="NormalTok"/>
        </w:rPr>
        <w:t xml:space="preserve">(</w:t>
      </w:r>
      <w:r>
        <w:rPr>
          <w:rStyle w:val="AttributeTok"/>
        </w:rPr>
        <w:t xml:space="preserve">uresmc.fn=</w:t>
      </w:r>
      <w:r>
        <w:rPr>
          <w:rStyle w:val="FunctionTok"/>
        </w:rPr>
        <w:t xml:space="preserve">case_when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"Tyne &amp; Wear"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Northern region"</w:t>
      </w:r>
      <w:r>
        <w:rPr>
          <w:rStyle w:val="SpecialCharTok"/>
        </w:rPr>
        <w:t xml:space="preserve">~</w:t>
      </w:r>
      <w:r>
        <w:rPr>
          <w:rStyle w:val="StringTok"/>
        </w:rPr>
        <w:t xml:space="preserve">"North East"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"South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"West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Yorks &amp; Humberside"</w:t>
      </w:r>
      <w:r>
        <w:rPr>
          <w:rStyle w:val="NormalTok"/>
        </w:rPr>
        <w:t xml:space="preserve"> </w:t>
      </w:r>
      <w:r>
        <w:rPr>
          <w:rStyle w:val="SpecialCharTok"/>
        </w:rPr>
        <w:t xml:space="preserve">~</w:t>
      </w:r>
      <w:r>
        <w:rPr>
          <w:rStyle w:val="StringTok"/>
        </w:rPr>
        <w:t xml:space="preserve">"Yorkshire &amp; Humberside"</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"Inner London"</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"Outer London"</w:t>
      </w:r>
      <w:r>
        <w:rPr>
          <w:rStyle w:val="SpecialCharTok"/>
        </w:rPr>
        <w:t xml:space="preserve">~</w:t>
      </w:r>
      <w:r>
        <w:rPr>
          <w:rStyle w:val="StringTok"/>
        </w:rPr>
        <w:t xml:space="preserve">"London"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"West Midlands (met county)"</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West Midlands"</w:t>
      </w:r>
      <w:r>
        <w:rPr>
          <w:rStyle w:val="SpecialCharTok"/>
        </w:rPr>
        <w:t xml:space="preserve">~</w:t>
      </w:r>
      <w:r>
        <w:rPr>
          <w:rStyle w:val="StringTok"/>
        </w:rPr>
        <w:t xml:space="preserve">"West Midlands"</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"Greater Manchester"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 West"</w:t>
      </w:r>
      <w:r>
        <w:rPr>
          <w:rStyle w:val="SpecialCharTok"/>
        </w:rPr>
        <w:t xml:space="preserve">~</w:t>
      </w:r>
      <w:r>
        <w:rPr>
          <w:rStyle w:val="StringTok"/>
        </w:rPr>
        <w:t xml:space="preserve">"North West"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"Strathclyde"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Scotland"</w:t>
      </w:r>
      <w:r>
        <w:rPr>
          <w:rStyle w:val="SpecialCharTok"/>
        </w:rPr>
        <w:t xml:space="preserve">~</w:t>
      </w:r>
      <w:r>
        <w:rPr>
          <w:rStyle w:val="StringTok"/>
        </w:rPr>
        <w:t xml:space="preserve">"Scotland"</w:t>
      </w:r>
      <w:r>
        <w:rPr>
          <w:rStyle w:val="NormalTok"/>
        </w:rPr>
        <w:t xml:space="preserve">,</w:t>
      </w:r>
      <w:r>
        <w:br/>
      </w:r>
      <w:r>
        <w:rPr>
          <w:rStyle w:val="NormalTok"/>
        </w:rPr>
        <w:t xml:space="preserve">          </w:t>
      </w:r>
      <w:r>
        <w:rPr>
          <w:rStyle w:val="AttributeTok"/>
        </w:rPr>
        <w:t xml:space="preserve">.default=</w:t>
      </w:r>
      <w:r>
        <w:rPr>
          <w:rStyle w:val="NormalTok"/>
        </w:rPr>
        <w:t xml:space="preserve">uresmc.f</w:t>
      </w:r>
      <w:r>
        <w:br/>
      </w:r>
      <w:r>
        <w:rPr>
          <w:rStyle w:val="NormalTok"/>
        </w:rPr>
        <w:t xml:space="preserve">          ))</w:t>
      </w:r>
    </w:p>
    <w:p>
      <w:pPr>
        <w:pStyle w:val="FirstParagraph"/>
      </w:pPr>
      <w:r>
        <w:t xml:space="preserve">For convenience, reorder the factor levels in order to match the ONS ordering:</w:t>
      </w:r>
    </w:p>
    <w:p>
      <w:pPr>
        <w:pStyle w:val="SourceCode"/>
      </w:pP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as.factor</w:t>
      </w:r>
      <w:r>
        <w:rPr>
          <w:rStyle w:val="NormalTok"/>
        </w:rPr>
        <w:t xml:space="preserve">(lfs</w:t>
      </w:r>
      <w:r>
        <w:rPr>
          <w:rStyle w:val="SpecialCharTok"/>
        </w:rPr>
        <w:t xml:space="preserve">$</w:t>
      </w:r>
      <w:r>
        <w:rPr>
          <w:rStyle w:val="NormalTok"/>
        </w:rPr>
        <w:t xml:space="preserve">uresmc.fn)</w:t>
      </w:r>
      <w:r>
        <w:br/>
      </w: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factor</w:t>
      </w:r>
      <w:r>
        <w:rPr>
          <w:rStyle w:val="NormalTok"/>
        </w:rPr>
        <w:t xml:space="preserve">(lfs</w:t>
      </w:r>
      <w:r>
        <w:rPr>
          <w:rStyle w:val="SpecialCharTok"/>
        </w:rPr>
        <w:t xml:space="preserve">$</w:t>
      </w:r>
      <w:r>
        <w:rPr>
          <w:rStyle w:val="NormalTok"/>
        </w:rPr>
        <w:t xml:space="preserve">uresmc.fn,</w:t>
      </w:r>
      <w:r>
        <w:rPr>
          <w:rStyle w:val="AttributeTok"/>
        </w:rPr>
        <w:t xml:space="preserve">levels =</w:t>
      </w:r>
      <w:r>
        <w:rPr>
          <w:rStyle w:val="NormalTok"/>
        </w:rPr>
        <w:t xml:space="preserve"> </w:t>
      </w:r>
      <w:r>
        <w:rPr>
          <w:rStyle w:val="FunctionTok"/>
        </w:rPr>
        <w:t xml:space="preserve">levels</w:t>
      </w:r>
      <w:r>
        <w:rPr>
          <w:rStyle w:val="NormalTok"/>
        </w:rPr>
        <w:t xml:space="preserve">(lfs</w:t>
      </w:r>
      <w:r>
        <w:rPr>
          <w:rStyle w:val="SpecialCharTok"/>
        </w:rPr>
        <w:t xml:space="preserve">$</w:t>
      </w:r>
      <w:r>
        <w:rPr>
          <w:rStyle w:val="NormalTok"/>
        </w:rPr>
        <w:t xml:space="preserve">uresmc.fn)[</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w:t>
      </w:r>
      <w:r>
        <w:rPr>
          <w:rStyle w:val="DecValTok"/>
        </w:rPr>
        <w:t xml:space="preserve">7</w:t>
      </w:r>
      <w:r>
        <w:rPr>
          <w:rStyle w:val="NormalTok"/>
        </w:rPr>
        <w:t xml:space="preserve">)])</w:t>
      </w:r>
    </w:p>
    <w:p>
      <w:pPr>
        <w:pStyle w:val="FirstParagraph"/>
      </w:pPr>
      <w:r>
        <w:t xml:space="preserve">Let us now check the results:</w:t>
      </w:r>
    </w:p>
    <w:p>
      <w:pPr>
        <w:pStyle w:val="SourceCode"/>
      </w:pP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p>
    <w:p>
      <w:pPr>
        <w:pStyle w:val="SourceCode"/>
      </w:pPr>
      <w:r>
        <w:rPr>
          <w:rStyle w:val="VerbatimChar"/>
        </w:rPr>
        <w:t xml:space="preserve">                                  2.5 %  97.5 %</w:t>
      </w:r>
      <w:r>
        <w:br/>
      </w:r>
      <w:r>
        <w:rPr>
          <w:rStyle w:val="VerbatimChar"/>
        </w:rPr>
        <w:t xml:space="preserve">uresmc.fnNorth East             1108265 1366323</w:t>
      </w:r>
      <w:r>
        <w:br/>
      </w:r>
      <w:r>
        <w:rPr>
          <w:rStyle w:val="VerbatimChar"/>
        </w:rPr>
        <w:t xml:space="preserve">uresmc.fnNorth West             2056142 2462448</w:t>
      </w:r>
      <w:r>
        <w:br/>
      </w:r>
      <w:r>
        <w:rPr>
          <w:rStyle w:val="VerbatimChar"/>
        </w:rPr>
        <w:t xml:space="preserve">uresmc.fnMerseyside              473854  749424</w:t>
      </w:r>
      <w:r>
        <w:br/>
      </w:r>
      <w:r>
        <w:rPr>
          <w:rStyle w:val="VerbatimChar"/>
        </w:rPr>
        <w:t xml:space="preserve">uresmc.fnYorkshire &amp; Humberside 2077728 2449422</w:t>
      </w:r>
      <w:r>
        <w:br/>
      </w:r>
      <w:r>
        <w:rPr>
          <w:rStyle w:val="VerbatimChar"/>
        </w:rPr>
        <w:t xml:space="preserve">uresmc.fnEast Midlands          1884931 2240257</w:t>
      </w:r>
      <w:r>
        <w:br/>
      </w:r>
      <w:r>
        <w:rPr>
          <w:rStyle w:val="VerbatimChar"/>
        </w:rPr>
        <w:t xml:space="preserve">uresmc.fnWest Midlands          2268450 2730368</w:t>
      </w:r>
      <w:r>
        <w:br/>
      </w:r>
      <w:r>
        <w:rPr>
          <w:rStyle w:val="VerbatimChar"/>
        </w:rPr>
        <w:t xml:space="preserve">uresmc.fnEast Anglia            1018147 1293525</w:t>
      </w:r>
      <w:r>
        <w:br/>
      </w:r>
      <w:r>
        <w:rPr>
          <w:rStyle w:val="VerbatimChar"/>
        </w:rPr>
        <w:t xml:space="preserve">uresmc.fnLondon                 3620425 4367581</w:t>
      </w:r>
      <w:r>
        <w:br/>
      </w:r>
      <w:r>
        <w:rPr>
          <w:rStyle w:val="VerbatimChar"/>
        </w:rPr>
        <w:t xml:space="preserve">uresmc.fnRest of South East     5133587 5816347</w:t>
      </w:r>
      <w:r>
        <w:br/>
      </w:r>
      <w:r>
        <w:rPr>
          <w:rStyle w:val="VerbatimChar"/>
        </w:rPr>
        <w:t xml:space="preserve">uresmc.fnSouth West             2150551 2532611</w:t>
      </w:r>
      <w:r>
        <w:br/>
      </w:r>
      <w:r>
        <w:rPr>
          <w:rStyle w:val="VerbatimChar"/>
        </w:rPr>
        <w:t xml:space="preserve">uresmc.fnWales                  1101246 1410746</w:t>
      </w:r>
      <w:r>
        <w:br/>
      </w:r>
      <w:r>
        <w:rPr>
          <w:rStyle w:val="VerbatimChar"/>
        </w:rPr>
        <w:t xml:space="preserve">uresmc.fnScotland               2178250 2671214</w:t>
      </w:r>
      <w:r>
        <w:br/>
      </w:r>
      <w:r>
        <w:rPr>
          <w:rStyle w:val="VerbatimChar"/>
        </w:rPr>
        <w:t xml:space="preserve">uresmc.fnNorthern Ireland        689076  803340</w:t>
      </w:r>
    </w:p>
    <w:p>
      <w:pPr>
        <w:pStyle w:val="FirstParagraph"/>
      </w:pPr>
      <w:r>
        <w:t xml:space="preserve">We can now import the design factors from the LFS documentation. This has to be done by hand, by directly copying the relevant numbers from the lfs</w:t>
      </w:r>
    </w:p>
    <w:p>
      <w:pPr>
        <w:pStyle w:val="BodyText"/>
      </w:pPr>
      <w:r>
        <w:t xml:space="preserve">While we are at it we can also improve the original table:</w:t>
      </w:r>
    </w:p>
    <w:p>
      <w:pPr>
        <w:pStyle w:val="SourceCode"/>
      </w:pPr>
      <w:r>
        <w:rPr>
          <w:rStyle w:val="NormalTok"/>
        </w:rPr>
        <w:t xml:space="preserve">tot</w:t>
      </w:r>
      <w:r>
        <w:rPr>
          <w:rStyle w:val="OtherTok"/>
        </w:rPr>
        <w:t xml:space="preserve">&lt;-</w:t>
      </w:r>
      <w:r>
        <w:rPr>
          <w:rStyle w:val="FunctionTok"/>
        </w:rPr>
        <w:t xml:space="preserve">data.frame</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r>
        <w:br/>
      </w:r>
      <w:r>
        <w:rPr>
          <w:rStyle w:val="NormalTok"/>
        </w:rPr>
        <w:t xml:space="preserve">tot</w:t>
      </w:r>
      <w:r>
        <w:rPr>
          <w:rStyle w:val="SpecialCharTok"/>
        </w:rPr>
        <w:t xml:space="preserve">$</w:t>
      </w:r>
      <w:r>
        <w:rPr>
          <w:rStyle w:val="NormalTok"/>
        </w:rPr>
        <w:t xml:space="preserve">deft</w:t>
      </w:r>
      <w:r>
        <w:rPr>
          <w:rStyle w:val="OtherTok"/>
        </w:rPr>
        <w:t xml:space="preserve">&lt;-</w:t>
      </w:r>
      <w:r>
        <w:rPr>
          <w:rStyle w:val="FunctionTok"/>
        </w:rPr>
        <w:t xml:space="preserve">c</w:t>
      </w:r>
      <w:r>
        <w:rPr>
          <w:rStyle w:val="NormalTok"/>
        </w:rPr>
        <w:t xml:space="preserve">(</w:t>
      </w:r>
      <w:r>
        <w:rPr>
          <w:rStyle w:val="FloatTok"/>
        </w:rPr>
        <w:t xml:space="preserve">0.8712</w:t>
      </w:r>
      <w:r>
        <w:rPr>
          <w:rStyle w:val="NormalTok"/>
        </w:rPr>
        <w:t xml:space="preserve">,</w:t>
      </w:r>
      <w:r>
        <w:rPr>
          <w:rStyle w:val="FloatTok"/>
        </w:rPr>
        <w:t xml:space="preserve">1.0857</w:t>
      </w:r>
      <w:r>
        <w:rPr>
          <w:rStyle w:val="NormalTok"/>
        </w:rPr>
        <w:t xml:space="preserve">,</w:t>
      </w:r>
      <w:r>
        <w:rPr>
          <w:rStyle w:val="FloatTok"/>
        </w:rPr>
        <w:t xml:space="preserve">1.3655</w:t>
      </w:r>
      <w:r>
        <w:rPr>
          <w:rStyle w:val="NormalTok"/>
        </w:rPr>
        <w:t xml:space="preserve">,</w:t>
      </w:r>
      <w:r>
        <w:rPr>
          <w:rStyle w:val="FloatTok"/>
        </w:rPr>
        <w:t xml:space="preserve">1.0051</w:t>
      </w:r>
      <w:r>
        <w:rPr>
          <w:rStyle w:val="NormalTok"/>
        </w:rPr>
        <w:t xml:space="preserve">,</w:t>
      </w:r>
      <w:r>
        <w:rPr>
          <w:rStyle w:val="FloatTok"/>
        </w:rPr>
        <w:t xml:space="preserve">0.9634</w:t>
      </w:r>
      <w:r>
        <w:rPr>
          <w:rStyle w:val="NormalTok"/>
        </w:rPr>
        <w:t xml:space="preserve">,</w:t>
      </w:r>
      <w:r>
        <w:rPr>
          <w:rStyle w:val="FloatTok"/>
        </w:rPr>
        <w:t xml:space="preserve">1.0382</w:t>
      </w:r>
      <w:r>
        <w:rPr>
          <w:rStyle w:val="NormalTok"/>
        </w:rPr>
        <w:t xml:space="preserve">,</w:t>
      </w:r>
      <w:r>
        <w:rPr>
          <w:rStyle w:val="FloatTok"/>
        </w:rPr>
        <w:t xml:space="preserve">0.8936</w:t>
      </w:r>
      <w:r>
        <w:rPr>
          <w:rStyle w:val="NormalTok"/>
        </w:rPr>
        <w:t xml:space="preserve">,</w:t>
      </w:r>
      <w:r>
        <w:rPr>
          <w:rStyle w:val="FloatTok"/>
        </w:rPr>
        <w:t xml:space="preserve">1.3272</w:t>
      </w:r>
      <w:r>
        <w:rPr>
          <w:rStyle w:val="NormalTok"/>
        </w:rPr>
        <w:t xml:space="preserve">,</w:t>
      </w:r>
      <w:r>
        <w:rPr>
          <w:rStyle w:val="FloatTok"/>
        </w:rPr>
        <w:t xml:space="preserve">0.9677</w:t>
      </w:r>
      <w:r>
        <w:rPr>
          <w:rStyle w:val="NormalTok"/>
        </w:rPr>
        <w:t xml:space="preserve">,</w:t>
      </w:r>
      <w:r>
        <w:rPr>
          <w:rStyle w:val="FloatTok"/>
        </w:rPr>
        <w:t xml:space="preserve">0.9137</w:t>
      </w:r>
      <w:r>
        <w:rPr>
          <w:rStyle w:val="NormalTok"/>
        </w:rPr>
        <w:t xml:space="preserve">,</w:t>
      </w:r>
      <w:r>
        <w:rPr>
          <w:rStyle w:val="FloatTok"/>
        </w:rPr>
        <w:t xml:space="preserve">1.0012</w:t>
      </w:r>
      <w:r>
        <w:rPr>
          <w:rStyle w:val="NormalTok"/>
        </w:rPr>
        <w:t xml:space="preserve">,</w:t>
      </w:r>
      <w:r>
        <w:rPr>
          <w:rStyle w:val="FloatTok"/>
        </w:rPr>
        <w:t xml:space="preserve">1.0437</w:t>
      </w:r>
      <w:r>
        <w:rPr>
          <w:rStyle w:val="NormalTok"/>
        </w:rPr>
        <w:t xml:space="preserve">,</w:t>
      </w:r>
      <w:r>
        <w:rPr>
          <w:rStyle w:val="FloatTok"/>
        </w:rPr>
        <w:t xml:space="preserve">0.7113</w:t>
      </w:r>
      <w:r>
        <w:rPr>
          <w:rStyle w:val="NormalTok"/>
        </w:rPr>
        <w:t xml:space="preserve">)</w:t>
      </w:r>
      <w:r>
        <w:br/>
      </w:r>
      <w:r>
        <w:rPr>
          <w:rStyle w:val="NormalTok"/>
        </w:rPr>
        <w:t xml:space="preserve">tot[</w:t>
      </w:r>
      <w:r>
        <w:rPr>
          <w:rStyle w:val="StringTok"/>
        </w:rPr>
        <w:t xml:space="preserve">"2.5%"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NormalTok"/>
        </w:rPr>
        <w:t xml:space="preserve">tot[</w:t>
      </w:r>
      <w:r>
        <w:rPr>
          <w:rStyle w:val="StringTok"/>
        </w:rPr>
        <w:t xml:space="preserve">"97.5%"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FunctionTok"/>
        </w:rPr>
        <w:t xml:space="preserve">rownames</w:t>
      </w:r>
      <w:r>
        <w:rPr>
          <w:rStyle w:val="NormalTok"/>
        </w:rPr>
        <w:t xml:space="preserve">(tot)</w:t>
      </w:r>
      <w:r>
        <w:rPr>
          <w:rStyle w:val="OtherTok"/>
        </w:rPr>
        <w:t xml:space="preserve">&lt;-</w:t>
      </w:r>
      <w:r>
        <w:rPr>
          <w:rStyle w:val="FunctionTok"/>
        </w:rPr>
        <w:t xml:space="preserve">substr</w:t>
      </w:r>
      <w:r>
        <w:rPr>
          <w:rStyle w:val="NormalTok"/>
        </w:rPr>
        <w:t xml:space="preserve">(</w:t>
      </w:r>
      <w:r>
        <w:rPr>
          <w:rStyle w:val="FunctionTok"/>
        </w:rPr>
        <w:t xml:space="preserve">rownames</w:t>
      </w:r>
      <w:r>
        <w:rPr>
          <w:rStyle w:val="NormalTok"/>
        </w:rPr>
        <w:t xml:space="preserve">(tot),</w:t>
      </w:r>
      <w:r>
        <w:rPr>
          <w:rStyle w:val="DecValTok"/>
        </w:rPr>
        <w:t xml:space="preserve">10</w:t>
      </w:r>
      <w:r>
        <w:rPr>
          <w:rStyle w:val="NormalTok"/>
        </w:rPr>
        <w:t xml:space="preserve">,</w:t>
      </w:r>
      <w:r>
        <w:rPr>
          <w:rStyle w:val="FunctionTok"/>
        </w:rPr>
        <w:t xml:space="preserve">nchar</w:t>
      </w:r>
      <w:r>
        <w:rPr>
          <w:rStyle w:val="NormalTok"/>
        </w:rPr>
        <w:t xml:space="preserve">(</w:t>
      </w:r>
      <w:r>
        <w:rPr>
          <w:rStyle w:val="FunctionTok"/>
        </w:rPr>
        <w:t xml:space="preserve">rownames</w:t>
      </w:r>
      <w:r>
        <w:rPr>
          <w:rStyle w:val="NormalTok"/>
        </w:rPr>
        <w:t xml:space="preserve">(tot)))</w:t>
      </w:r>
      <w:r>
        <w:br/>
      </w:r>
      <w:r>
        <w:rPr>
          <w:rStyle w:val="FunctionTok"/>
        </w:rPr>
        <w:t xml:space="preserve">kable</w:t>
      </w:r>
      <w:r>
        <w:rPr>
          <w:rStyle w:val="NormalTok"/>
        </w:rPr>
        <w:t xml:space="preserve">(</w:t>
      </w:r>
      <w:r>
        <w:rPr>
          <w:rStyle w:val="FunctionTok"/>
        </w:rPr>
        <w:t xml:space="preserve">round</w:t>
      </w:r>
      <w:r>
        <w:rPr>
          <w:rStyle w:val="NormalTok"/>
        </w:rPr>
        <w:t xml:space="preserve">(tot[,</w:t>
      </w:r>
      <w:r>
        <w:rPr>
          <w:rStyle w:val="FunctionTok"/>
        </w:rPr>
        <w:t xml:space="preserve">c</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w:t>
            </w:r>
          </w:p>
        </w:tc>
        <w:tc>
          <w:tcPr/>
          <w:p>
            <w:pPr>
              <w:pStyle w:val="Compact"/>
              <w:jc w:val="right"/>
            </w:pPr>
            <w:r>
              <w:t xml:space="preserve">97.5%</w:t>
            </w:r>
          </w:p>
        </w:tc>
      </w:tr>
      <w:tr>
        <w:tc>
          <w:tcPr/>
          <w:p>
            <w:pPr>
              <w:pStyle w:val="Compact"/>
              <w:jc w:val="left"/>
            </w:pPr>
            <w:r>
              <w:t xml:space="preserve">North East</w:t>
            </w:r>
          </w:p>
        </w:tc>
        <w:tc>
          <w:tcPr/>
          <w:p>
            <w:pPr>
              <w:pStyle w:val="Compact"/>
              <w:jc w:val="right"/>
            </w:pPr>
            <w:r>
              <w:t xml:space="preserve">1124882</w:t>
            </w:r>
          </w:p>
        </w:tc>
        <w:tc>
          <w:tcPr/>
          <w:p>
            <w:pPr>
              <w:pStyle w:val="Compact"/>
              <w:jc w:val="right"/>
            </w:pPr>
            <w:r>
              <w:t xml:space="preserve">1349706</w:t>
            </w:r>
          </w:p>
        </w:tc>
      </w:tr>
      <w:tr>
        <w:tc>
          <w:tcPr/>
          <w:p>
            <w:pPr>
              <w:pStyle w:val="Compact"/>
              <w:jc w:val="left"/>
            </w:pPr>
            <w:r>
              <w:t xml:space="preserve">North West</w:t>
            </w:r>
          </w:p>
        </w:tc>
        <w:tc>
          <w:tcPr/>
          <w:p>
            <w:pPr>
              <w:pStyle w:val="Compact"/>
              <w:jc w:val="right"/>
            </w:pPr>
            <w:r>
              <w:t xml:space="preserve">2038728</w:t>
            </w:r>
          </w:p>
        </w:tc>
        <w:tc>
          <w:tcPr/>
          <w:p>
            <w:pPr>
              <w:pStyle w:val="Compact"/>
              <w:jc w:val="right"/>
            </w:pPr>
            <w:r>
              <w:t xml:space="preserve">2479862</w:t>
            </w:r>
          </w:p>
        </w:tc>
      </w:tr>
      <w:tr>
        <w:tc>
          <w:tcPr/>
          <w:p>
            <w:pPr>
              <w:pStyle w:val="Compact"/>
              <w:jc w:val="left"/>
            </w:pPr>
            <w:r>
              <w:t xml:space="preserve">Merseyside</w:t>
            </w:r>
          </w:p>
        </w:tc>
        <w:tc>
          <w:tcPr/>
          <w:p>
            <w:pPr>
              <w:pStyle w:val="Compact"/>
              <w:jc w:val="right"/>
            </w:pPr>
            <w:r>
              <w:t xml:space="preserve">423490</w:t>
            </w:r>
          </w:p>
        </w:tc>
        <w:tc>
          <w:tcPr/>
          <w:p>
            <w:pPr>
              <w:pStyle w:val="Compact"/>
              <w:jc w:val="right"/>
            </w:pPr>
            <w:r>
              <w:t xml:space="preserve">799788</w:t>
            </w:r>
          </w:p>
        </w:tc>
      </w:tr>
      <w:tr>
        <w:tc>
          <w:tcPr/>
          <w:p>
            <w:pPr>
              <w:pStyle w:val="Compact"/>
              <w:jc w:val="left"/>
            </w:pPr>
            <w:r>
              <w:t xml:space="preserve">Yorkshire &amp; Humberside</w:t>
            </w:r>
          </w:p>
        </w:tc>
        <w:tc>
          <w:tcPr/>
          <w:p>
            <w:pPr>
              <w:pStyle w:val="Compact"/>
              <w:jc w:val="right"/>
            </w:pPr>
            <w:r>
              <w:t xml:space="preserve">2076776</w:t>
            </w:r>
          </w:p>
        </w:tc>
        <w:tc>
          <w:tcPr/>
          <w:p>
            <w:pPr>
              <w:pStyle w:val="Compact"/>
              <w:jc w:val="right"/>
            </w:pPr>
            <w:r>
              <w:t xml:space="preserve">2450374</w:t>
            </w:r>
          </w:p>
        </w:tc>
      </w:tr>
      <w:tr>
        <w:tc>
          <w:tcPr/>
          <w:p>
            <w:pPr>
              <w:pStyle w:val="Compact"/>
              <w:jc w:val="left"/>
            </w:pPr>
            <w:r>
              <w:t xml:space="preserve">East Midlands</w:t>
            </w:r>
          </w:p>
        </w:tc>
        <w:tc>
          <w:tcPr/>
          <w:p>
            <w:pPr>
              <w:pStyle w:val="Compact"/>
              <w:jc w:val="right"/>
            </w:pPr>
            <w:r>
              <w:t xml:space="preserve">1891430</w:t>
            </w:r>
          </w:p>
        </w:tc>
        <w:tc>
          <w:tcPr/>
          <w:p>
            <w:pPr>
              <w:pStyle w:val="Compact"/>
              <w:jc w:val="right"/>
            </w:pPr>
            <w:r>
              <w:t xml:space="preserve">2233758</w:t>
            </w:r>
          </w:p>
        </w:tc>
      </w:tr>
      <w:tr>
        <w:tc>
          <w:tcPr/>
          <w:p>
            <w:pPr>
              <w:pStyle w:val="Compact"/>
              <w:jc w:val="left"/>
            </w:pPr>
            <w:r>
              <w:t xml:space="preserve">West Midlands</w:t>
            </w:r>
          </w:p>
        </w:tc>
        <w:tc>
          <w:tcPr/>
          <w:p>
            <w:pPr>
              <w:pStyle w:val="Compact"/>
              <w:jc w:val="right"/>
            </w:pPr>
            <w:r>
              <w:t xml:space="preserve">2259623</w:t>
            </w:r>
          </w:p>
        </w:tc>
        <w:tc>
          <w:tcPr/>
          <w:p>
            <w:pPr>
              <w:pStyle w:val="Compact"/>
              <w:jc w:val="right"/>
            </w:pPr>
            <w:r>
              <w:t xml:space="preserve">2739195</w:t>
            </w:r>
          </w:p>
        </w:tc>
      </w:tr>
      <w:tr>
        <w:tc>
          <w:tcPr/>
          <w:p>
            <w:pPr>
              <w:pStyle w:val="Compact"/>
              <w:jc w:val="left"/>
            </w:pPr>
            <w:r>
              <w:t xml:space="preserve">East Anglia</w:t>
            </w:r>
          </w:p>
        </w:tc>
        <w:tc>
          <w:tcPr/>
          <w:p>
            <w:pPr>
              <w:pStyle w:val="Compact"/>
              <w:jc w:val="right"/>
            </w:pPr>
            <w:r>
              <w:t xml:space="preserve">1032794</w:t>
            </w:r>
          </w:p>
        </w:tc>
        <w:tc>
          <w:tcPr/>
          <w:p>
            <w:pPr>
              <w:pStyle w:val="Compact"/>
              <w:jc w:val="right"/>
            </w:pPr>
            <w:r>
              <w:t xml:space="preserve">1278878</w:t>
            </w:r>
          </w:p>
        </w:tc>
      </w:tr>
      <w:tr>
        <w:tc>
          <w:tcPr/>
          <w:p>
            <w:pPr>
              <w:pStyle w:val="Compact"/>
              <w:jc w:val="left"/>
            </w:pPr>
            <w:r>
              <w:t xml:space="preserve">London</w:t>
            </w:r>
          </w:p>
        </w:tc>
        <w:tc>
          <w:tcPr/>
          <w:p>
            <w:pPr>
              <w:pStyle w:val="Compact"/>
              <w:jc w:val="right"/>
            </w:pPr>
            <w:r>
              <w:t xml:space="preserve">3498181</w:t>
            </w:r>
          </w:p>
        </w:tc>
        <w:tc>
          <w:tcPr/>
          <w:p>
            <w:pPr>
              <w:pStyle w:val="Compact"/>
              <w:jc w:val="right"/>
            </w:pPr>
            <w:r>
              <w:t xml:space="preserve">4489825</w:t>
            </w:r>
          </w:p>
        </w:tc>
      </w:tr>
      <w:tr>
        <w:tc>
          <w:tcPr/>
          <w:p>
            <w:pPr>
              <w:pStyle w:val="Compact"/>
              <w:jc w:val="left"/>
            </w:pPr>
            <w:r>
              <w:t xml:space="preserve">Rest of South East</w:t>
            </w:r>
          </w:p>
        </w:tc>
        <w:tc>
          <w:tcPr/>
          <w:p>
            <w:pPr>
              <w:pStyle w:val="Compact"/>
              <w:jc w:val="right"/>
            </w:pPr>
            <w:r>
              <w:t xml:space="preserve">5144607</w:t>
            </w:r>
          </w:p>
        </w:tc>
        <w:tc>
          <w:tcPr/>
          <w:p>
            <w:pPr>
              <w:pStyle w:val="Compact"/>
              <w:jc w:val="right"/>
            </w:pPr>
            <w:r>
              <w:t xml:space="preserve">5805327</w:t>
            </w:r>
          </w:p>
        </w:tc>
      </w:tr>
      <w:tr>
        <w:tc>
          <w:tcPr/>
          <w:p>
            <w:pPr>
              <w:pStyle w:val="Compact"/>
              <w:jc w:val="left"/>
            </w:pPr>
            <w:r>
              <w:t xml:space="preserve">South West</w:t>
            </w:r>
          </w:p>
        </w:tc>
        <w:tc>
          <w:tcPr/>
          <w:p>
            <w:pPr>
              <w:pStyle w:val="Compact"/>
              <w:jc w:val="right"/>
            </w:pPr>
            <w:r>
              <w:t xml:space="preserve">2167034</w:t>
            </w:r>
          </w:p>
        </w:tc>
        <w:tc>
          <w:tcPr/>
          <w:p>
            <w:pPr>
              <w:pStyle w:val="Compact"/>
              <w:jc w:val="right"/>
            </w:pPr>
            <w:r>
              <w:t xml:space="preserve">2516128</w:t>
            </w:r>
          </w:p>
        </w:tc>
      </w:tr>
      <w:tr>
        <w:tc>
          <w:tcPr/>
          <w:p>
            <w:pPr>
              <w:pStyle w:val="Compact"/>
              <w:jc w:val="left"/>
            </w:pPr>
            <w:r>
              <w:t xml:space="preserve">Wales</w:t>
            </w:r>
          </w:p>
        </w:tc>
        <w:tc>
          <w:tcPr/>
          <w:p>
            <w:pPr>
              <w:pStyle w:val="Compact"/>
              <w:jc w:val="right"/>
            </w:pPr>
            <w:r>
              <w:t xml:space="preserve">1101057</w:t>
            </w:r>
          </w:p>
        </w:tc>
        <w:tc>
          <w:tcPr/>
          <w:p>
            <w:pPr>
              <w:pStyle w:val="Compact"/>
              <w:jc w:val="right"/>
            </w:pPr>
            <w:r>
              <w:t xml:space="preserve">1410935</w:t>
            </w:r>
          </w:p>
        </w:tc>
      </w:tr>
      <w:tr>
        <w:tc>
          <w:tcPr/>
          <w:p>
            <w:pPr>
              <w:pStyle w:val="Compact"/>
              <w:jc w:val="left"/>
            </w:pPr>
            <w:r>
              <w:t xml:space="preserve">Scotland</w:t>
            </w:r>
          </w:p>
        </w:tc>
        <w:tc>
          <w:tcPr/>
          <w:p>
            <w:pPr>
              <w:pStyle w:val="Compact"/>
              <w:jc w:val="right"/>
            </w:pPr>
            <w:r>
              <w:t xml:space="preserve">2167474</w:t>
            </w:r>
          </w:p>
        </w:tc>
        <w:tc>
          <w:tcPr/>
          <w:p>
            <w:pPr>
              <w:pStyle w:val="Compact"/>
              <w:jc w:val="right"/>
            </w:pPr>
            <w:r>
              <w:t xml:space="preserve">2681990</w:t>
            </w:r>
          </w:p>
        </w:tc>
      </w:tr>
      <w:tr>
        <w:tc>
          <w:tcPr/>
          <w:p>
            <w:pPr>
              <w:pStyle w:val="Compact"/>
              <w:jc w:val="left"/>
            </w:pPr>
            <w:r>
              <w:t xml:space="preserve">Northern Ireland</w:t>
            </w:r>
          </w:p>
        </w:tc>
        <w:tc>
          <w:tcPr/>
          <w:p>
            <w:pPr>
              <w:pStyle w:val="Compact"/>
              <w:jc w:val="right"/>
            </w:pPr>
            <w:r>
              <w:t xml:space="preserve">705569</w:t>
            </w:r>
          </w:p>
        </w:tc>
        <w:tc>
          <w:tcPr/>
          <w:p>
            <w:pPr>
              <w:pStyle w:val="Compact"/>
              <w:jc w:val="right"/>
            </w:pPr>
            <w:r>
              <w:t xml:space="preserve">786847</w:t>
            </w:r>
          </w:p>
        </w:tc>
      </w:tr>
    </w:tbl>
    <w:bookmarkStart w:id="56" w:name="answers"/>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56"/>
    <w:bookmarkEnd w:id="57"/>
    <w:bookmarkEnd w:id="58"/>
    <w:bookmarkStart w:id="65" w:name="spss-examples"/>
    <w:p>
      <w:pPr>
        <w:pStyle w:val="Heading1"/>
      </w:pPr>
      <w:r>
        <w:t xml:space="preserve">6. SPSS Examples</w:t>
      </w:r>
    </w:p>
    <w:p>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willing to use SPSS with survey data will need to acquire the Premium Edition or the Complex Samples add-on of the software.</w:t>
      </w:r>
    </w:p>
    <w:p>
      <w:pPr>
        <w:pStyle w:val="BodyText"/>
      </w:pPr>
      <w:r>
        <w:t xml:space="preserve">In this exercise, we will practice statistical inference with data from the</w:t>
      </w:r>
      <w:r>
        <w:t xml:space="preserve"> </w:t>
      </w:r>
      <w:hyperlink r:id="rId45">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of the BSA editions include survey design variables.</w:t>
      </w:r>
    </w:p>
    <w:bookmarkStart w:id="59" w:name="Xe10ed69c45389011e072593549c3056538ca9c2"/>
    <w:p>
      <w:pPr>
        <w:pStyle w:val="Heading2"/>
      </w:pPr>
      <w:r>
        <w:t xml:space="preserve">6.1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You may need to decompress the file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59"/>
    <w:bookmarkStart w:id="60" w:name="specifying-the-survey-design-1"/>
    <w:p>
      <w:pPr>
        <w:pStyle w:val="Heading2"/>
      </w:pPr>
      <w:r>
        <w:t xml:space="preserve">6.2 Specifying the survey design</w:t>
      </w:r>
    </w:p>
    <w:p>
      <w:pPr>
        <w:pStyle w:val="FirstParagraph"/>
      </w:pPr>
      <w:r>
        <w:t xml:space="preserve">Let us first open the 2017 BSA dataset.</w:t>
      </w:r>
    </w:p>
    <w:p>
      <w:pPr>
        <w:pStyle w:val="SourceCode"/>
      </w:pPr>
      <w:r>
        <w:rPr>
          <w:rStyle w:val="VerbatimChar"/>
        </w:rPr>
        <w:t xml:space="preserve">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pPr>
        <w:pStyle w:val="FirstParagraph"/>
      </w:pPr>
      <w:r>
        <w:t xml:space="preserve">In principle, we should tell SPSS that we are working with a three stage stratified cluster sample. In practice however, we only have information about the initial ie primary sampling units.</w:t>
      </w:r>
      <w:r>
        <w:br/>
      </w:r>
      <w:r>
        <w:t xml:space="preserve">This is achieved with the</w:t>
      </w:r>
      <w:r>
        <w:t xml:space="preserve"> </w:t>
      </w:r>
      <w:r>
        <w:rPr>
          <w:rStyle w:val="VerbatimChar"/>
        </w:rPr>
        <w:t xml:space="preserve">CSPLAN</w:t>
      </w:r>
      <w:r>
        <w:t xml:space="preserve"> </w:t>
      </w:r>
      <w:r>
        <w:t xml:space="preserve">command through we create a plan file which contains the survey design information.</w:t>
      </w:r>
    </w:p>
    <w:p>
      <w:pPr>
        <w:pStyle w:val="SourceCode"/>
      </w:pPr>
      <w:r>
        <w:rPr>
          <w:rStyle w:val="VerbatimChar"/>
        </w:rPr>
        <w:t xml:space="preserve">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bookmarkEnd w:id="60"/>
    <w:bookmarkStart w:id="61" w:name="X164b4bbe9404f9350f875dae2ed0c7ef75d5e06"/>
    <w:p>
      <w:pPr>
        <w:pStyle w:val="Heading2"/>
      </w:pPr>
      <w:r>
        <w:t xml:space="preserve">6.3 Mean age and its 95% confidence interval</w:t>
      </w:r>
    </w:p>
    <w:p>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w:t>
      </w:r>
      <w:r>
        <w:t xml:space="preserve"> </w:t>
      </w:r>
      <w:r>
        <w:rPr>
          <w:rStyle w:val="VerbatimChar"/>
        </w:rPr>
        <w:t xml:space="preserve">/CSDESCRIPTIVES</w:t>
      </w:r>
    </w:p>
    <w:p>
      <w:pPr>
        <w:pStyle w:val="SourceCode"/>
      </w:pPr>
      <w:r>
        <w:rPr>
          <w:rStyle w:val="VerbatimChar"/>
        </w:rPr>
        <w:t xml:space="preserve">DATASET ACTIVATE DataSet1.</w:t>
      </w:r>
      <w:r>
        <w:br/>
      </w:r>
      <w:r>
        <w:rPr>
          <w:rStyle w:val="VerbatimChar"/>
        </w:rPr>
        <w:t xml:space="preserve">*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pPr>
        <w:pStyle w:val="FirstParagraph"/>
      </w:pPr>
      <w:r>
        <w:t xml:space="preserve">Under the</w:t>
      </w:r>
      <w:r>
        <w:t xml:space="preserve"> </w:t>
      </w:r>
      <w:r>
        <w:rPr>
          <w:rStyle w:val="VerbatimChar"/>
        </w:rPr>
        <w:t xml:space="preserve">/STATISTICS</w:t>
      </w:r>
      <w:r>
        <w:t xml:space="preserve"> </w:t>
      </w:r>
      <w:r>
        <w:t xml:space="preserve">command we can request either or both the standard error of the mean and its 95% confidence interval.</w:t>
      </w:r>
    </w:p>
    <w:p>
      <w:pPr>
        <w:pStyle w:val="BodyText"/>
      </w:pPr>
      <w:r>
        <w:t xml:space="preserve">What difference would it make to the estimates and 95% CI to compute respectively, an unweighted mean, as well as a weighted mean without accounting for the survey design?</w:t>
      </w:r>
    </w:p>
    <w:p>
      <w:pPr>
        <w:pStyle w:val="BodyText"/>
      </w:pPr>
      <w:r>
        <w:rPr>
          <w:bCs/>
          <w:b/>
        </w:rPr>
        <w:t xml:space="preserve">Unweighted means and CI</w:t>
      </w:r>
    </w:p>
    <w:p>
      <w:pPr>
        <w:pStyle w:val="SourceCode"/>
      </w:pPr>
      <w:r>
        <w:rPr>
          <w:rStyle w:val="VerbatimChar"/>
        </w:rPr>
        <w:t xml:space="preserve">DESCRIPTIVES VARIABLES=RAgeE</w:t>
      </w:r>
      <w:r>
        <w:br/>
      </w:r>
      <w:r>
        <w:rPr>
          <w:rStyle w:val="VerbatimChar"/>
        </w:rPr>
        <w:t xml:space="preserve">  /STATISTICS=MEAN SEMEAN.</w:t>
      </w:r>
    </w:p>
    <w:p>
      <w:pPr>
        <w:pStyle w:val="FirstParagraph"/>
      </w:pPr>
      <w:r>
        <w:t xml:space="preserve">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pPr>
        <w:pStyle w:val="BodyText"/>
      </w:pPr>
      <w:r>
        <w:rPr>
          <w:bCs/>
          <w:b/>
        </w:rPr>
        <w:t xml:space="preserve">Weighted means and CI without survey design</w:t>
      </w:r>
    </w:p>
    <w:p>
      <w:pPr>
        <w:pStyle w:val="SourceCode"/>
      </w:pPr>
      <w:r>
        <w:rPr>
          <w:rStyle w:val="VerbatimChar"/>
        </w:rPr>
        <w:t xml:space="preserve">WEIGHT BY WtFactor.</w:t>
      </w:r>
      <w:r>
        <w:br/>
      </w:r>
      <w:r>
        <w:rPr>
          <w:rStyle w:val="VerbatimChar"/>
        </w:rPr>
        <w:t xml:space="preserve">DESCRIPTIVES VARIABLES=RAgeE</w:t>
      </w:r>
      <w:r>
        <w:br/>
      </w:r>
      <w:r>
        <w:rPr>
          <w:rStyle w:val="VerbatimChar"/>
        </w:rPr>
        <w:t xml:space="preserve">  /STATISTICS=MEAN SEMEAN.</w:t>
      </w:r>
      <w:r>
        <w:br/>
      </w:r>
      <w:r>
        <w:rPr>
          <w:rStyle w:val="VerbatimChar"/>
        </w:rPr>
        <w:t xml:space="preserve">WEIGHT OFF.</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4"/>
        </w:numPr>
        <w:pStyle w:val="Compact"/>
      </w:pPr>
      <w:r>
        <w:t xml:space="preserve">inferring the mean value of the population age?</w:t>
      </w:r>
    </w:p>
    <w:p>
      <w:pPr>
        <w:numPr>
          <w:ilvl w:val="0"/>
          <w:numId w:val="1014"/>
        </w:numPr>
        <w:pStyle w:val="Compact"/>
      </w:pPr>
      <w:r>
        <w:t xml:space="preserve">inferring the uncertainty of our estimate of the population age?</w:t>
      </w:r>
    </w:p>
    <w:bookmarkEnd w:id="61"/>
    <w:bookmarkStart w:id="62" w:name="X2a2a7e7ad20290b65d94053e04792aa2acf8ef7"/>
    <w:p>
      <w:pPr>
        <w:pStyle w:val="Heading2"/>
      </w:pPr>
      <w:r>
        <w:t xml:space="preserve">6.4 Computing a proportion and its 95% confidence interval</w:t>
      </w:r>
    </w:p>
    <w:p>
      <w:pPr>
        <w:pStyle w:val="FirstParagraph"/>
      </w:pPr>
      <w:r>
        <w:t xml:space="preserve">We can now similarly compute an estimate of a proportion (or percentage) of a categorical variable in the population. For instance, the proportion of people who declare themselves interested in politics. This is the</w:t>
      </w:r>
      <w:r>
        <w:t xml:space="preserve"> </w:t>
      </w:r>
      <w:r>
        <w:rPr>
          <w:rStyle w:val="VerbatimChar"/>
        </w:rPr>
        <w:t xml:space="preserve">Politics</w:t>
      </w:r>
      <w:r>
        <w:t xml:space="preserve"> </w:t>
      </w:r>
      <w:r>
        <w:t xml:space="preserve">variable. It has five categories that we are going to recode into</w:t>
      </w:r>
      <w:r>
        <w:t xml:space="preserve"> </w:t>
      </w:r>
      <w:r>
        <w:t xml:space="preserve">‘</w:t>
      </w:r>
      <w:r>
        <w:t xml:space="preserve">Significantly</w:t>
      </w:r>
      <w:r>
        <w:t xml:space="preserve">’</w:t>
      </w:r>
      <w:r>
        <w:t xml:space="preserve"> </w:t>
      </w:r>
      <w:r>
        <w:t xml:space="preserve">(interested) and</w:t>
      </w:r>
      <w:r>
        <w:t xml:space="preserve"> </w:t>
      </w:r>
      <w:r>
        <w:t xml:space="preserve">‘</w:t>
      </w:r>
      <w:r>
        <w:t xml:space="preserve">Not</w:t>
      </w:r>
      <w:r>
        <w:t xml:space="preserve">’</w:t>
      </w:r>
      <w:r>
        <w:t xml:space="preserve"> </w:t>
      </w:r>
      <w:r>
        <w:t xml:space="preserve">(significantly) in order to simplify the analysis.</w:t>
      </w:r>
    </w:p>
    <w:p>
      <w:pPr>
        <w:pStyle w:val="SourceCode"/>
      </w:pPr>
      <w:r>
        <w:rPr>
          <w:rStyle w:val="VerbatimChar"/>
        </w:rPr>
        <w:t xml:space="preserve">FREQUENCIES VARIABLES=Politics</w:t>
      </w:r>
      <w:r>
        <w:br/>
      </w:r>
      <w:r>
        <w:rPr>
          <w:rStyle w:val="VerbatimChar"/>
        </w:rPr>
        <w:t xml:space="preserve">  /ORDER=ANALYSIS.</w:t>
      </w:r>
      <w:r>
        <w:br/>
      </w:r>
      <w:r>
        <w:br/>
      </w:r>
      <w:r>
        <w:rPr>
          <w:rStyle w:val="VerbatimChar"/>
        </w:rPr>
        <w:t xml:space="preserve">RECODE Politics (9=SYSMIS) (1 thru 2=1) (3 thru 5=2) INTO Politics.s.</w:t>
      </w:r>
      <w:r>
        <w:br/>
      </w:r>
      <w:r>
        <w:rPr>
          <w:rStyle w:val="VerbatimChar"/>
        </w:rPr>
        <w:t xml:space="preserve">EXECUTE.</w:t>
      </w:r>
      <w:r>
        <w:br/>
      </w:r>
      <w:r>
        <w:br/>
      </w:r>
      <w:r>
        <w:rPr>
          <w:rStyle w:val="VerbatimChar"/>
        </w:rPr>
        <w:t xml:space="preserve">VARIABLE LABELS</w:t>
      </w:r>
      <w:r>
        <w:br/>
      </w:r>
      <w:r>
        <w:rPr>
          <w:rStyle w:val="VerbatimChar"/>
        </w:rPr>
        <w:t xml:space="preserve">Politics.s   "Whether significantly interested in politics".</w:t>
      </w:r>
      <w:r>
        <w:br/>
      </w:r>
      <w:r>
        <w:rPr>
          <w:rStyle w:val="VerbatimChar"/>
        </w:rPr>
        <w:t xml:space="preserve">VALUE LABELS</w:t>
      </w:r>
      <w:r>
        <w:br/>
      </w:r>
      <w:r>
        <w:rPr>
          <w:rStyle w:val="VerbatimChar"/>
        </w:rPr>
        <w:t xml:space="preserve">Politics.s</w:t>
      </w:r>
      <w:r>
        <w:br/>
      </w:r>
      <w:r>
        <w:rPr>
          <w:rStyle w:val="VerbatimChar"/>
        </w:rPr>
        <w:t xml:space="preserve">1  "Significant"</w:t>
      </w:r>
      <w:r>
        <w:br/>
      </w:r>
      <w:r>
        <w:rPr>
          <w:rStyle w:val="VerbatimChar"/>
        </w:rPr>
        <w:t xml:space="preserve">2  "Not significant". </w:t>
      </w:r>
      <w:r>
        <w:br/>
      </w:r>
      <w:r>
        <w:rPr>
          <w:rStyle w:val="VerbatimChar"/>
        </w:rPr>
        <w:t xml:space="preserve">EXECUTE.</w:t>
      </w:r>
      <w:r>
        <w:br/>
      </w:r>
      <w:r>
        <w:br/>
      </w:r>
      <w:r>
        <w:rPr>
          <w:rStyle w:val="VerbatimChar"/>
        </w:rPr>
        <w:t xml:space="preserve">FREQUENCIES VARIABLES=Politics.s</w:t>
      </w:r>
      <w:r>
        <w:br/>
      </w:r>
      <w:r>
        <w:rPr>
          <w:rStyle w:val="VerbatimChar"/>
        </w:rPr>
        <w:t xml:space="preserve">  /ORDER=ANALYSIS.</w:t>
      </w:r>
      <w:r>
        <w:br/>
      </w:r>
      <w:r>
        <w:br/>
      </w:r>
      <w:r>
        <w:rPr>
          <w:rStyle w:val="VerbatimChar"/>
        </w:rPr>
        <w:t xml:space="preserve">WEIGHT BY WtFactor.</w:t>
      </w:r>
      <w:r>
        <w:br/>
      </w:r>
      <w:r>
        <w:rPr>
          <w:rStyle w:val="VerbatimChar"/>
        </w:rPr>
        <w:t xml:space="preserve">FREQUENCIES VARIABLES=Politics.s</w:t>
      </w:r>
      <w:r>
        <w:br/>
      </w:r>
      <w:r>
        <w:rPr>
          <w:rStyle w:val="VerbatimChar"/>
        </w:rPr>
        <w:t xml:space="preserve">  /ORDER=ANALYSIS.</w:t>
      </w:r>
      <w:r>
        <w:br/>
      </w:r>
      <w:r>
        <w:rPr>
          <w:rStyle w:val="VerbatimChar"/>
        </w:rPr>
        <w:t xml:space="preserve">WEIGHT OFF.</w:t>
      </w:r>
    </w:p>
    <w:p>
      <w:pPr>
        <w:pStyle w:val="FirstParagraph"/>
      </w:pPr>
      <w:r>
        <w:t xml:space="preserve">As with the mean of age earlier, we can see that the weighted and unweighted point estimates of the proportion of respondents significantly interested in politics change, even if slightly, and that they remain the same when survey design is accounted for.</w:t>
      </w:r>
    </w:p>
    <w:p>
      <w:pPr>
        <w:pStyle w:val="BodyText"/>
      </w:pPr>
      <w:r>
        <w:t xml:space="preserve">With the help of</w:t>
      </w:r>
      <w:r>
        <w:t xml:space="preserve"> </w:t>
      </w:r>
      <w:r>
        <w:rPr>
          <w:rStyle w:val="VerbatimChar"/>
        </w:rPr>
        <w:t xml:space="preserve">CSTABULATE</w:t>
      </w:r>
      <w:r>
        <w:t xml:space="preserve"> </w:t>
      </w:r>
      <w:r>
        <w:t xml:space="preserve">we can examine frequencies, proportions and confidence intervals of these proportions accounting for the survey design. As before, the point estimates do not further change once survey design is accounted for.</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62"/>
    <w:bookmarkStart w:id="64" w:name="domain-ie-subpopulation-estimates"/>
    <w:p>
      <w:pPr>
        <w:pStyle w:val="Heading2"/>
      </w:pPr>
      <w:r>
        <w:t xml:space="preserve">6.5 Domain (ie subpopulation) estimates</w:t>
      </w:r>
    </w:p>
    <w:p>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left out of the analysis might yield incorrect results. This is why using survey design informed functions is particularly recommended when doing such analyses.</w:t>
      </w:r>
    </w:p>
    <w:p>
      <w:pPr>
        <w:pStyle w:val="BodyText"/>
      </w:pPr>
      <w:r>
        <w:t xml:space="preserve">The SPSS command</w:t>
      </w:r>
      <w:r>
        <w:t xml:space="preserve"> </w:t>
      </w:r>
      <w:r>
        <w:rPr>
          <w:rStyle w:val="VerbatimChar"/>
        </w:rPr>
        <w:t xml:space="preserve">CSDESCRIPTIVES</w:t>
      </w:r>
      <w:r>
        <w:t xml:space="preserve"> </w:t>
      </w:r>
      <w:r>
        <w:t xml:space="preserve">that we used above makes such domain estimation relatively straightforward. If we would like to compute the mean age of BSA respondents by government office regions, we need to specify:</w:t>
      </w:r>
    </w:p>
    <w:p>
      <w:pPr>
        <w:numPr>
          <w:ilvl w:val="0"/>
          <w:numId w:val="1015"/>
        </w:numPr>
        <w:pStyle w:val="Compact"/>
      </w:pPr>
      <w:r>
        <w:t xml:space="preserve">The outcome variable whose estimate we want to compute: ie</w:t>
      </w:r>
      <w:r>
        <w:t xml:space="preserve"> </w:t>
      </w:r>
      <w:r>
        <w:rPr>
          <w:rStyle w:val="VerbatimChar"/>
        </w:rPr>
        <w:t xml:space="preserve">RAgeE</w:t>
      </w:r>
    </w:p>
    <w:p>
      <w:pPr>
        <w:numPr>
          <w:ilvl w:val="0"/>
          <w:numId w:val="1015"/>
        </w:numPr>
        <w:pStyle w:val="Compact"/>
      </w:pPr>
      <w:r>
        <w:t xml:space="preserve">The grouping variable(s)</w:t>
      </w:r>
      <w:r>
        <w:t xml:space="preserve"> </w:t>
      </w:r>
      <w:r>
        <w:rPr>
          <w:rStyle w:val="VerbatimChar"/>
        </w:rPr>
        <w:t xml:space="preserve">GOR_ID</w:t>
      </w:r>
    </w:p>
    <w:p>
      <w:pPr>
        <w:numPr>
          <w:ilvl w:val="0"/>
          <w:numId w:val="1015"/>
        </w:numPr>
        <w:pStyle w:val="Compact"/>
      </w:pPr>
      <w:r>
        <w:t xml:space="preserve">And the type of type of variance estimation we would like to see displayed ie standard errors or confidence interval</w:t>
      </w:r>
    </w:p>
    <w:p>
      <w:pPr>
        <w:pStyle w:val="SourceCode"/>
      </w:pPr>
      <w:r>
        <w:rPr>
          <w:rStyle w:val="VerbatimChar"/>
        </w:rPr>
        <w:t xml:space="preserve"> *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pPr>
        <w:pStyle w:val="FirstParagraph"/>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also examine proportions for subpopulations. In order to do this, we need to specify the category of the variable we are interested in as an outcome.For instance, the syntax below uses respondents who are significantly interested in politics:</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t xml:space="preserve">When using</w:t>
      </w:r>
      <w:r>
        <w:t xml:space="preserve"> </w:t>
      </w:r>
      <w:r>
        <w:rPr>
          <w:rStyle w:val="VerbatimChar"/>
        </w:rPr>
        <w:t xml:space="preserve">CSTABULATE</w:t>
      </w:r>
      <w:r>
        <w:t xml:space="preserve">,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6"/>
        </w:numPr>
      </w:pPr>
      <w:r>
        <w:t xml:space="preserve">Produce a table of results showing the proportion of respondents significantly interested in Politics by age group and gender</w:t>
      </w:r>
    </w:p>
    <w:p>
      <w:pPr>
        <w:numPr>
          <w:ilvl w:val="0"/>
          <w:numId w:val="1016"/>
        </w:numPr>
      </w:pPr>
      <w:r>
        <w:t xml:space="preserve">Assess whether the age difference in interest for politics is similar for each gender?</w:t>
      </w:r>
    </w:p>
    <w:p>
      <w:pPr>
        <w:numPr>
          <w:ilvl w:val="0"/>
          <w:numId w:val="1016"/>
        </w:numPr>
      </w:pPr>
      <w:r>
        <w:t xml:space="preserve">Based on the data, is it fair to say that men aged under 35 tend to be more likely to declare themselves interested in politics than women aged 55 and above?</w:t>
      </w:r>
    </w:p>
    <w:p>
      <w:pPr>
        <w:pStyle w:val="SourceCode"/>
      </w:pP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bookmarkStart w:id="63" w:name="answers-1"/>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63"/>
    <w:bookmarkEnd w:id="64"/>
    <w:bookmarkEnd w:id="65"/>
    <w:bookmarkStart w:id="66" w:name="stata-examples"/>
    <w:p>
      <w:pPr>
        <w:pStyle w:val="Heading1"/>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pPr>
        <w:numPr>
          <w:ilvl w:val="0"/>
          <w:numId w:val="1017"/>
        </w:numPr>
        <w:pStyle w:val="Compact"/>
      </w:pPr>
      <w:r>
        <w:t xml:space="preserve">frequency weights (</w:t>
      </w:r>
      <w:r>
        <w:rPr>
          <w:rStyle w:val="VerbatimChar"/>
        </w:rPr>
        <w:t xml:space="preserve">fweight</w:t>
      </w:r>
      <w:r>
        <w:t xml:space="preserve">),</w:t>
      </w:r>
    </w:p>
    <w:p>
      <w:pPr>
        <w:numPr>
          <w:ilvl w:val="0"/>
          <w:numId w:val="1017"/>
        </w:numPr>
        <w:pStyle w:val="Compact"/>
      </w:pPr>
      <w:r>
        <w:t xml:space="preserve">analytical weights (</w:t>
      </w:r>
      <w:r>
        <w:rPr>
          <w:rStyle w:val="VerbatimChar"/>
        </w:rPr>
        <w:t xml:space="preserve">aweight</w:t>
      </w:r>
      <w:r>
        <w:t xml:space="preserve">),</w:t>
      </w:r>
    </w:p>
    <w:p>
      <w:pPr>
        <w:numPr>
          <w:ilvl w:val="0"/>
          <w:numId w:val="1017"/>
        </w:numPr>
        <w:pStyle w:val="Compact"/>
      </w:pPr>
      <w:r>
        <w:t xml:space="preserve">importance weights (</w:t>
      </w:r>
      <w:r>
        <w:rPr>
          <w:rStyle w:val="VerbatimChar"/>
        </w:rPr>
        <w:t xml:space="preserve">iweight</w:t>
      </w:r>
      <w:r>
        <w:t xml:space="preserve">) and</w:t>
      </w:r>
    </w:p>
    <w:p>
      <w:pPr>
        <w:numPr>
          <w:ilvl w:val="0"/>
          <w:numId w:val="1017"/>
        </w:numPr>
        <w:pStyle w:val="Compact"/>
      </w:pPr>
      <w:r>
        <w:t xml:space="preserve">probability weights (</w:t>
      </w:r>
      <w:r>
        <w:rPr>
          <w:rStyle w:val="VerbatimChar"/>
        </w:rPr>
        <w:t xml:space="preserve">pweight</w:t>
      </w:r>
      <w:r>
        <w:t xml:space="preserve">).</w:t>
      </w:r>
    </w:p>
    <w:p>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w:t>
      </w:r>
    </w:p>
    <w:p>
      <w:pPr>
        <w:pStyle w:val="BodyText"/>
      </w:pPr>
      <w:r>
        <w:t xml:space="preserve">Only probability weights (abbreviated as</w:t>
      </w:r>
      <w:r>
        <w:t xml:space="preserve"> </w:t>
      </w:r>
      <w:r>
        <w:rPr>
          <w:rStyle w:val="VerbatimChar"/>
        </w:rPr>
        <w:t xml:space="preserve">pw</w:t>
      </w:r>
      <w:r>
        <w:t xml:space="preserve"> </w:t>
      </w:r>
      <w:r>
        <w:t xml:space="preserve">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bookmarkEnd w:id="66"/>
    <w:bookmarkStart w:id="71" w:name="X3208dc74291fe300add4d3b7c75e587d623d229"/>
    <w:p>
      <w:pPr>
        <w:pStyle w:val="Heading1"/>
      </w:pPr>
      <w:r>
        <w:t xml:space="preserve">8. Appendix: Study-specific weighting and sample design information</w:t>
      </w:r>
    </w:p>
    <w:bookmarkStart w:id="67" w:name="british-social-attitudes-survey"/>
    <w:p>
      <w:pPr>
        <w:pStyle w:val="Heading2"/>
      </w:pPr>
      <w:r>
        <w:t xml:space="preserve">8.1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67"/>
    <w:bookmarkStart w:id="68" w:name="labour-force-survey"/>
    <w:p>
      <w:pPr>
        <w:pStyle w:val="Heading2"/>
      </w:pPr>
      <w:r>
        <w:t xml:space="preserve">8.2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68"/>
    <w:bookmarkStart w:id="70" w:name="family-resources-survey"/>
    <w:p>
      <w:pPr>
        <w:pStyle w:val="Heading2"/>
      </w:pPr>
      <w:r>
        <w:t xml:space="preserve">8.3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Information about Design Effect in the Family Resources Survey series is available</w:t>
      </w:r>
      <w:r>
        <w:t xml:space="preserve"> </w:t>
      </w:r>
      <w:hyperlink r:id="rId69">
        <w:r>
          <w:rPr>
            <w:rStyle w:val="Hyperlink"/>
          </w:rPr>
          <w:t xml:space="preserve">here</w:t>
        </w:r>
      </w:hyperlink>
    </w:p>
    <w:p>
      <w:pPr>
        <w:pStyle w:val="BodyText"/>
      </w:pPr>
      <w:r>
        <w:t xml:space="preserve">FRS weights:</w:t>
      </w:r>
      <w:r>
        <w:t xml:space="preserve"> </w:t>
      </w:r>
      <w:r>
        <w:t xml:space="preserve">GROSS4: person-level sampling weight; enables inferring population counts</w:t>
      </w:r>
    </w:p>
    <w:bookmarkEnd w:id="70"/>
    <w:bookmarkEnd w:id="71"/>
    <w:bookmarkStart w:id="91" w:name="references"/>
    <w:p>
      <w:pPr>
        <w:pStyle w:val="Heading1"/>
      </w:pPr>
      <w:r>
        <w:t xml:space="preserve">9. References</w:t>
      </w:r>
    </w:p>
    <w:p>
      <w:pPr>
        <w:pStyle w:val="FirstParagraph"/>
      </w:pPr>
      <w:r>
        <w:t xml:space="preserve">(</w:t>
      </w:r>
      <w:r>
        <w:rPr>
          <w:bCs/>
          <w:b/>
        </w:rPr>
        <w:t xml:space="preserve">PierreWal?</w:t>
      </w:r>
      <w:r>
        <w:t xml:space="preserve">)</w:t>
      </w:r>
      <w:r>
        <w:t xml:space="preserve"> </w:t>
      </w:r>
      <w:r>
        <w:t xml:space="preserve">: and here</w:t>
      </w:r>
    </w:p>
    <w:bookmarkStart w:id="90" w:name="refs"/>
    <w:bookmarkStart w:id="72" w:name="ref-Blair2014"/>
    <w:p>
      <w:pPr>
        <w:pStyle w:val="Bibliography"/>
      </w:pPr>
      <w:r>
        <w:t xml:space="preserve">Blair, Johnny. 2014.</w:t>
      </w:r>
      <w:r>
        <w:t xml:space="preserve"> </w:t>
      </w:r>
      <w:r>
        <w:rPr>
          <w:iCs/>
          <w:i/>
        </w:rPr>
        <w:t xml:space="preserve">Designing Surveys : A Guide to Decisions and Procedures.</w:t>
      </w:r>
      <w:r>
        <w:t xml:space="preserve"> 3rd edition / Johnny Blair, Ronald F. Czaja, Edward A. Blair. Los Angeles: SAGE.</w:t>
      </w:r>
    </w:p>
    <w:bookmarkEnd w:id="72"/>
    <w:bookmarkStart w:id="74" w:name="ref-DWP2014"/>
    <w:p>
      <w:pPr>
        <w:pStyle w:val="Bibliography"/>
      </w:pPr>
      <w:r>
        <w:t xml:space="preserve">DWP. 2014.</w:t>
      </w:r>
      <w:r>
        <w:t xml:space="preserve"> </w:t>
      </w:r>
      <w:r>
        <w:t xml:space="preserve">“Uncertainty in Family Resources Survey-Based Analysis. Guidance on Estimating Uncertainty in Family Resources Survey-Based Analysis.”</w:t>
      </w:r>
      <w:r>
        <w:t xml:space="preserve"> </w:t>
      </w:r>
      <w:r>
        <w:t xml:space="preserve">Edited by Department for Work and Pensions. 2014.</w:t>
      </w:r>
      <w:r>
        <w:t xml:space="preserve"> </w:t>
      </w:r>
      <w:hyperlink r:id="rId73">
        <w:r>
          <w:rPr>
            <w:rStyle w:val="Hyperlink"/>
          </w:rPr>
          <w:t xml:space="preserve">https://www.gov.uk/government/publications/uncertainty-in-family-resources-survey-based-analysis</w:t>
        </w:r>
      </w:hyperlink>
      <w:r>
        <w:t xml:space="preserve">.</w:t>
      </w:r>
    </w:p>
    <w:bookmarkEnd w:id="74"/>
    <w:bookmarkStart w:id="76" w:name="ref-IBM2020"/>
    <w:p>
      <w:pPr>
        <w:pStyle w:val="Bibliography"/>
      </w:pPr>
      <w:r>
        <w:t xml:space="preserve">IBM Support. 2020.</w:t>
      </w:r>
      <w:r>
        <w:t xml:space="preserve"> </w:t>
      </w:r>
      <w:r>
        <w:t xml:space="preserve">“Inconsistency in the Output When Using Weighting Procedure. IBM Support Document Number 419449.”</w:t>
      </w:r>
      <w:r>
        <w:t xml:space="preserve"> </w:t>
      </w:r>
      <w:r>
        <w:t xml:space="preserve">2020.</w:t>
      </w:r>
      <w:r>
        <w:t xml:space="preserve"> </w:t>
      </w:r>
      <w:hyperlink r:id="rId75">
        <w:r>
          <w:rPr>
            <w:rStyle w:val="Hyperlink"/>
          </w:rPr>
          <w:t xml:space="preserve">https://www.ibm.com/support/pages/inconsistency-output-when-using-weighting-procedure</w:t>
        </w:r>
      </w:hyperlink>
      <w:r>
        <w:t xml:space="preserve">.</w:t>
      </w:r>
    </w:p>
    <w:bookmarkEnd w:id="76"/>
    <w:bookmarkStart w:id="77" w:name="ref-Kish1995"/>
    <w:p>
      <w:pPr>
        <w:pStyle w:val="Bibliography"/>
      </w:pPr>
      <w:r>
        <w:t xml:space="preserve">Kish, Leslie. 1995.</w:t>
      </w:r>
      <w:r>
        <w:t xml:space="preserve"> </w:t>
      </w:r>
      <w:r>
        <w:rPr>
          <w:iCs/>
          <w:i/>
        </w:rPr>
        <w:t xml:space="preserve">Survey Sampling</w:t>
      </w:r>
      <w:r>
        <w:t xml:space="preserve">. Wiley Classics Library. New York: Wiley.</w:t>
      </w:r>
    </w:p>
    <w:bookmarkEnd w:id="77"/>
    <w:bookmarkStart w:id="78" w:name="ref-Lohr20192010"/>
    <w:p>
      <w:pPr>
        <w:pStyle w:val="Bibliography"/>
      </w:pPr>
      <w:r>
        <w:t xml:space="preserve">Lohr, Sharon L. 2019 - 2010.</w:t>
      </w:r>
      <w:r>
        <w:t xml:space="preserve"> </w:t>
      </w:r>
      <w:r>
        <w:rPr>
          <w:iCs/>
          <w:i/>
        </w:rPr>
        <w:t xml:space="preserve">Sampling : Design and Analysis</w:t>
      </w:r>
      <w:r>
        <w:t xml:space="preserve">. Second edition. Texts in Statistical Science. Boca Raton, FL: CRC Press.</w:t>
      </w:r>
    </w:p>
    <w:bookmarkEnd w:id="78"/>
    <w:bookmarkStart w:id="79" w:name="ref-Lumley2023"/>
    <w:p>
      <w:pPr>
        <w:pStyle w:val="Bibliography"/>
      </w:pPr>
      <w:r>
        <w:t xml:space="preserve">Lumley, Thomas. 2023.</w:t>
      </w:r>
      <w:r>
        <w:t xml:space="preserve"> </w:t>
      </w:r>
      <w:r>
        <w:t xml:space="preserve">“Survey: Analysis of Complex Survey Samples.”</w:t>
      </w:r>
    </w:p>
    <w:bookmarkEnd w:id="79"/>
    <w:bookmarkStart w:id="81" w:name="ref-ONS2022"/>
    <w:p>
      <w:pPr>
        <w:pStyle w:val="Bibliography"/>
      </w:pPr>
      <w:r>
        <w:t xml:space="preserve">ONS. 2022.</w:t>
      </w:r>
      <w:r>
        <w:t xml:space="preserve"> </w:t>
      </w:r>
      <w:r>
        <w:t xml:space="preserve">“Family Resources Survey, 2020/21 Methodology and Standard Error Tables.”</w:t>
      </w:r>
      <w:r>
        <w:t xml:space="preserve"> </w:t>
      </w:r>
      <w:r>
        <w:t xml:space="preserve">Edited by Office for National Statistics. 2022.</w:t>
      </w:r>
      <w:r>
        <w:t xml:space="preserve"> </w:t>
      </w:r>
      <w:hyperlink r:id="rId80">
        <w:r>
          <w:rPr>
            <w:rStyle w:val="Hyperlink"/>
          </w:rPr>
          <w:t xml:space="preserve">https://assets.publishing.service.gov.uk/government/uploads/system/uploads/attachment_data/file/1065513/Ch1_Methodology_and_Standard_Errors.ods</w:t>
        </w:r>
      </w:hyperlink>
      <w:r>
        <w:t xml:space="preserve">.</w:t>
      </w:r>
    </w:p>
    <w:bookmarkEnd w:id="81"/>
    <w:bookmarkStart w:id="83" w:name="ref-Curran2016"/>
    <w:p>
      <w:pPr>
        <w:pStyle w:val="Bibliography"/>
      </w:pPr>
      <w:r>
        <w:t xml:space="preserve">P, Curran. 2016.</w:t>
      </w:r>
      <w:r>
        <w:t xml:space="preserve"> </w:t>
      </w:r>
      <w:r>
        <w:t xml:space="preserve">“Complex Survey Designs and Weighting Using Stata: Part 1-3.”</w:t>
      </w:r>
      <w:r>
        <w:t xml:space="preserve"> </w:t>
      </w:r>
      <w:r>
        <w:t xml:space="preserve">2016.</w:t>
      </w:r>
      <w:r>
        <w:t xml:space="preserve"> </w:t>
      </w:r>
      <w:hyperlink r:id="rId82">
        <w:r>
          <w:rPr>
            <w:rStyle w:val="Hyperlink"/>
          </w:rPr>
          <w:t xml:space="preserve">https://www.youtube.com/watch?v=oOpJdC_oeKY</w:t>
        </w:r>
      </w:hyperlink>
      <w:r>
        <w:t xml:space="preserve">.</w:t>
      </w:r>
    </w:p>
    <w:bookmarkEnd w:id="83"/>
    <w:bookmarkStart w:id="85" w:name="ref-UKDS2018"/>
    <w:p>
      <w:pPr>
        <w:pStyle w:val="Bibliography"/>
      </w:pPr>
      <w:r>
        <w:t xml:space="preserve">UKDS. 2018.</w:t>
      </w:r>
      <w:r>
        <w:t xml:space="preserve"> </w:t>
      </w:r>
      <w:r>
        <w:t xml:space="preserve">“Data Skills Modules: Applying Weights to Survey Data.”</w:t>
      </w:r>
      <w:r>
        <w:t xml:space="preserve"> </w:t>
      </w:r>
      <w:r>
        <w:t xml:space="preserve">Edited by UK Data Service. 2018.</w:t>
      </w:r>
      <w:r>
        <w:t xml:space="preserve"> </w:t>
      </w:r>
      <w:hyperlink r:id="rId84">
        <w:r>
          <w:rPr>
            <w:rStyle w:val="Hyperlink"/>
          </w:rPr>
          <w:t xml:space="preserve">https://www.youtube.com/watch?v=TIad5__WP8g</w:t>
        </w:r>
      </w:hyperlink>
      <w:r>
        <w:t xml:space="preserve">.</w:t>
      </w:r>
    </w:p>
    <w:bookmarkEnd w:id="85"/>
    <w:bookmarkStart w:id="87" w:name="ref-UKDS2019"/>
    <w:p>
      <w:pPr>
        <w:pStyle w:val="Bibliography"/>
      </w:pPr>
      <w:r>
        <w:t xml:space="preserve">———. 2019.</w:t>
      </w:r>
      <w:r>
        <w:t xml:space="preserve"> </w:t>
      </w:r>
      <w:r>
        <w:t xml:space="preserve">“Weights in Social Surveys: An Introduction:”</w:t>
      </w:r>
      <w:r>
        <w:t xml:space="preserve"> Edited by UK Data Service. 2019.</w:t>
      </w:r>
      <w:r>
        <w:t xml:space="preserve"> </w:t>
      </w:r>
      <w:hyperlink r:id="rId86">
        <w:r>
          <w:rPr>
            <w:rStyle w:val="Hyperlink"/>
          </w:rPr>
          <w:t xml:space="preserve">https://www.youtube.com/watch?v=Vllr4olp3N4&amp;t=39s</w:t>
        </w:r>
      </w:hyperlink>
      <w:r>
        <w:t xml:space="preserve">.</w:t>
      </w:r>
    </w:p>
    <w:bookmarkEnd w:id="87"/>
    <w:bookmarkStart w:id="89" w:name="ref-Wallrich2019"/>
    <w:p>
      <w:pPr>
        <w:pStyle w:val="Bibliography"/>
      </w:pPr>
      <w:r>
        <w:t xml:space="preserve">Wallrich, Lukas. 2019.</w:t>
      </w:r>
      <w:r>
        <w:t xml:space="preserve"> </w:t>
      </w:r>
      <w:r>
        <w:t xml:space="preserve">“Week 7 Using Survey Weights in r.”</w:t>
      </w:r>
      <w:r>
        <w:t xml:space="preserve"> </w:t>
      </w:r>
      <w:r>
        <w:t xml:space="preserve">Edited by Goldsmiths Core Quantitative Methods Series. 2019.</w:t>
      </w:r>
      <w:r>
        <w:t xml:space="preserve"> </w:t>
      </w:r>
      <w:hyperlink r:id="rId88">
        <w:r>
          <w:rPr>
            <w:rStyle w:val="Hyperlink"/>
          </w:rPr>
          <w:t xml:space="preserve">https://www.youtube.com/watch?v=brxx81U6N1o</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52" Target="Volume%201:%20Background%20and%20methodology%20(PDF,%201.2MB)" TargetMode="External" /><Relationship Type="http://schemas.openxmlformats.org/officeDocument/2006/relationships/hyperlink" Id="rId80" Target="https://assets.publishing.service.gov.uk/government/uploads/system/uploads/attachment_data/file/1065513/Ch1_Methodology_and_Standard_Errors.ods" TargetMode="External" /><Relationship Type="http://schemas.openxmlformats.org/officeDocument/2006/relationships/hyperlink" Id="rId69" Target="https://assets.publishing.service.gov.uk/government/uploads/system/uploads/attachment_data/file/972808/Ch1_Methodology_and_Standard_Errors.xlsx" TargetMode="External" /><Relationship Type="http://schemas.openxmlformats.org/officeDocument/2006/relationships/hyperlink" Id="rId45" Target="https://beta.ukdataservice.ac.uk/datacatalogue/studies/study?id=8450" TargetMode="External" /><Relationship Type="http://schemas.openxmlformats.org/officeDocument/2006/relationships/hyperlink" Id="rId41" Target="https://ukdataservice.ac.uk/find-data/access-conditions/secure-application-requirements/apply-to-access-ons-data" TargetMode="External" /><Relationship Type="http://schemas.openxmlformats.org/officeDocument/2006/relationships/hyperlink" Id="rId34" Target="https://ukdataservice.ac.uk/help/access-policy/types-of-data-access/" TargetMode="External" /><Relationship Type="http://schemas.openxmlformats.org/officeDocument/2006/relationships/hyperlink" Id="rId73" Target="https://www.gov.uk/government/publications/uncertainty-in-family-resources-survey-based-analysis" TargetMode="External" /><Relationship Type="http://schemas.openxmlformats.org/officeDocument/2006/relationships/hyperlink" Id="rId75" Target="https://www.ibm.com/support/pages/inconsistency-output-when-using-weighting-procedure" TargetMode="External" /><Relationship Type="http://schemas.openxmlformats.org/officeDocument/2006/relationships/hyperlink" Id="rId51"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4" Target="https://www.youtube.com/watch?v=TIad5__WP8g" TargetMode="External" /><Relationship Type="http://schemas.openxmlformats.org/officeDocument/2006/relationships/hyperlink" Id="rId86" Target="https://www.youtube.com/watch?v=Vllr4olp3N4&amp;t=39s" TargetMode="External" /><Relationship Type="http://schemas.openxmlformats.org/officeDocument/2006/relationships/hyperlink" Id="rId88" Target="https://www.youtube.com/watch?v=brxx81U6N1o" TargetMode="External" /><Relationship Type="http://schemas.openxmlformats.org/officeDocument/2006/relationships/hyperlink" Id="rId82"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52" Target="Volume%201:%20Background%20and%20methodology%20(PDF,%201.2MB)" TargetMode="External" /><Relationship Type="http://schemas.openxmlformats.org/officeDocument/2006/relationships/hyperlink" Id="rId80" Target="https://assets.publishing.service.gov.uk/government/uploads/system/uploads/attachment_data/file/1065513/Ch1_Methodology_and_Standard_Errors.ods" TargetMode="External" /><Relationship Type="http://schemas.openxmlformats.org/officeDocument/2006/relationships/hyperlink" Id="rId69" Target="https://assets.publishing.service.gov.uk/government/uploads/system/uploads/attachment_data/file/972808/Ch1_Methodology_and_Standard_Errors.xlsx" TargetMode="External" /><Relationship Type="http://schemas.openxmlformats.org/officeDocument/2006/relationships/hyperlink" Id="rId45" Target="https://beta.ukdataservice.ac.uk/datacatalogue/studies/study?id=8450" TargetMode="External" /><Relationship Type="http://schemas.openxmlformats.org/officeDocument/2006/relationships/hyperlink" Id="rId41" Target="https://ukdataservice.ac.uk/find-data/access-conditions/secure-application-requirements/apply-to-access-ons-data" TargetMode="External" /><Relationship Type="http://schemas.openxmlformats.org/officeDocument/2006/relationships/hyperlink" Id="rId34" Target="https://ukdataservice.ac.uk/help/access-policy/types-of-data-access/" TargetMode="External" /><Relationship Type="http://schemas.openxmlformats.org/officeDocument/2006/relationships/hyperlink" Id="rId73" Target="https://www.gov.uk/government/publications/uncertainty-in-family-resources-survey-based-analysis" TargetMode="External" /><Relationship Type="http://schemas.openxmlformats.org/officeDocument/2006/relationships/hyperlink" Id="rId75" Target="https://www.ibm.com/support/pages/inconsistency-output-when-using-weighting-procedure" TargetMode="External" /><Relationship Type="http://schemas.openxmlformats.org/officeDocument/2006/relationships/hyperlink" Id="rId51"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4" Target="https://www.youtube.com/watch?v=TIad5__WP8g" TargetMode="External" /><Relationship Type="http://schemas.openxmlformats.org/officeDocument/2006/relationships/hyperlink" Id="rId86" Target="https://www.youtube.com/watch?v=Vllr4olp3N4&amp;t=39s" TargetMode="External" /><Relationship Type="http://schemas.openxmlformats.org/officeDocument/2006/relationships/hyperlink" Id="rId88" Target="https://www.youtube.com/watch?v=brxx81U6N1o" TargetMode="External" /><Relationship Type="http://schemas.openxmlformats.org/officeDocument/2006/relationships/hyperlink" Id="rId82"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creator>Pierre Walthéry and Jennifer Buckley</dc:creator>
  <cp:keywords/>
  <dcterms:created xsi:type="dcterms:W3CDTF">2023-09-07T09:30:58Z</dcterms:created>
  <dcterms:modified xsi:type="dcterms:W3CDTF">2023-09-07T09:30:58Z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2023-09-07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