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0E05" w14:textId="77777777" w:rsidR="00EA5EB4" w:rsidRPr="00EA5EB4" w:rsidRDefault="00EA5EB4" w:rsidP="00B81B18">
      <w:pPr>
        <w:rPr>
          <w:sz w:val="2"/>
          <w:szCs w:val="2"/>
        </w:rPr>
        <w:sectPr w:rsidR="00EA5EB4" w:rsidRPr="00EA5EB4" w:rsidSect="00EA5EB4">
          <w:headerReference w:type="even" r:id="rId9"/>
          <w:headerReference w:type="default" r:id="rId10"/>
          <w:footerReference w:type="even" r:id="rId11"/>
          <w:footerReference w:type="default" r:id="rId12"/>
          <w:headerReference w:type="first" r:id="rId13"/>
          <w:footerReference w:type="first" r:id="rId14"/>
          <w:pgSz w:w="11906" w:h="16838" w:code="9"/>
          <w:pgMar w:top="2268" w:right="1134" w:bottom="1134" w:left="1588" w:header="431" w:footer="567" w:gutter="0"/>
          <w:cols w:space="708"/>
          <w:titlePg/>
          <w:docGrid w:linePitch="360"/>
        </w:sectPr>
      </w:pPr>
    </w:p>
    <w:tbl>
      <w:tblPr>
        <w:tblW w:w="0" w:type="auto"/>
        <w:tblBorders>
          <w:top w:val="single" w:sz="12" w:space="0" w:color="006D68"/>
          <w:left w:val="single" w:sz="12" w:space="0" w:color="006D68"/>
          <w:bottom w:val="single" w:sz="12" w:space="0" w:color="006D68"/>
          <w:right w:val="single" w:sz="12" w:space="0" w:color="006D68"/>
          <w:insideH w:val="single" w:sz="12" w:space="0" w:color="006D68"/>
          <w:insideV w:val="single" w:sz="12" w:space="0" w:color="006D68"/>
        </w:tblBorders>
        <w:tblCellMar>
          <w:top w:w="58" w:type="dxa"/>
          <w:left w:w="58" w:type="dxa"/>
          <w:bottom w:w="58" w:type="dxa"/>
          <w:right w:w="58" w:type="dxa"/>
        </w:tblCellMar>
        <w:tblLook w:val="01E0" w:firstRow="1" w:lastRow="1" w:firstColumn="1" w:lastColumn="1" w:noHBand="0" w:noVBand="0"/>
      </w:tblPr>
      <w:tblGrid>
        <w:gridCol w:w="2938"/>
        <w:gridCol w:w="2160"/>
        <w:gridCol w:w="2160"/>
        <w:gridCol w:w="2042"/>
      </w:tblGrid>
      <w:tr w:rsidR="00604F23" w14:paraId="6E120E07" w14:textId="77777777" w:rsidTr="00C36A41">
        <w:trPr>
          <w:trHeight w:val="567"/>
        </w:trPr>
        <w:tc>
          <w:tcPr>
            <w:tcW w:w="9300" w:type="dxa"/>
            <w:gridSpan w:val="4"/>
            <w:shd w:val="clear" w:color="auto" w:fill="auto"/>
            <w:vAlign w:val="center"/>
          </w:tcPr>
          <w:p w14:paraId="6E120E06" w14:textId="77777777" w:rsidR="00604F23" w:rsidRDefault="00604F23" w:rsidP="00B12DE2">
            <w:pPr>
              <w:jc w:val="center"/>
            </w:pPr>
            <w:r>
              <w:t>ONR GUIDE</w:t>
            </w:r>
          </w:p>
        </w:tc>
      </w:tr>
      <w:tr w:rsidR="00604F23" w14:paraId="6E120E09" w14:textId="77777777" w:rsidTr="00C36A41">
        <w:trPr>
          <w:trHeight w:val="567"/>
        </w:trPr>
        <w:tc>
          <w:tcPr>
            <w:tcW w:w="9300" w:type="dxa"/>
            <w:gridSpan w:val="4"/>
            <w:shd w:val="clear" w:color="auto" w:fill="auto"/>
            <w:vAlign w:val="center"/>
          </w:tcPr>
          <w:p w14:paraId="6E120E08" w14:textId="77777777" w:rsidR="00604F23" w:rsidRPr="00B12DE2" w:rsidRDefault="00626183" w:rsidP="00626183">
            <w:pPr>
              <w:jc w:val="center"/>
              <w:rPr>
                <w:b/>
              </w:rPr>
            </w:pPr>
            <w:r>
              <w:rPr>
                <w:b/>
                <w:color w:val="000000"/>
                <w:sz w:val="24"/>
              </w:rPr>
              <w:t>Fundamental Principles</w:t>
            </w:r>
            <w:r w:rsidR="00FB2318">
              <w:rPr>
                <w:b/>
                <w:color w:val="000000"/>
                <w:sz w:val="24"/>
              </w:rPr>
              <w:t xml:space="preserve"> </w:t>
            </w:r>
          </w:p>
        </w:tc>
      </w:tr>
      <w:tr w:rsidR="00612DF0" w14:paraId="6E120E0C" w14:textId="77777777" w:rsidTr="00C36A41">
        <w:trPr>
          <w:trHeight w:val="454"/>
        </w:trPr>
        <w:tc>
          <w:tcPr>
            <w:tcW w:w="2938" w:type="dxa"/>
            <w:shd w:val="clear" w:color="auto" w:fill="auto"/>
            <w:vAlign w:val="center"/>
          </w:tcPr>
          <w:p w14:paraId="6E120E0A" w14:textId="77777777" w:rsidR="00612DF0" w:rsidRPr="00B12DE2" w:rsidRDefault="00612DF0" w:rsidP="00604F23">
            <w:pPr>
              <w:rPr>
                <w:b/>
              </w:rPr>
            </w:pPr>
            <w:r w:rsidRPr="00B12DE2">
              <w:rPr>
                <w:b/>
              </w:rPr>
              <w:t>Document Type:</w:t>
            </w:r>
          </w:p>
        </w:tc>
        <w:tc>
          <w:tcPr>
            <w:tcW w:w="6362" w:type="dxa"/>
            <w:gridSpan w:val="3"/>
            <w:shd w:val="clear" w:color="auto" w:fill="auto"/>
            <w:vAlign w:val="center"/>
          </w:tcPr>
          <w:p w14:paraId="6E120E0B" w14:textId="77777777" w:rsidR="00612DF0" w:rsidRDefault="00532D01" w:rsidP="00604F23">
            <w:r>
              <w:t>Nuclear Safety Technical Assessment Guide</w:t>
            </w:r>
          </w:p>
        </w:tc>
      </w:tr>
      <w:tr w:rsidR="00612DF0" w14:paraId="6E120E0F" w14:textId="77777777" w:rsidTr="00C36A41">
        <w:trPr>
          <w:trHeight w:val="454"/>
        </w:trPr>
        <w:tc>
          <w:tcPr>
            <w:tcW w:w="2938" w:type="dxa"/>
            <w:shd w:val="clear" w:color="auto" w:fill="auto"/>
            <w:vAlign w:val="center"/>
          </w:tcPr>
          <w:p w14:paraId="6E120E0D" w14:textId="77777777" w:rsidR="00612DF0" w:rsidRPr="00B12DE2" w:rsidRDefault="00612DF0" w:rsidP="00604F23">
            <w:pPr>
              <w:rPr>
                <w:b/>
              </w:rPr>
            </w:pPr>
            <w:r w:rsidRPr="00B12DE2">
              <w:rPr>
                <w:b/>
              </w:rPr>
              <w:t>Unique Document ID and Revision No:</w:t>
            </w:r>
          </w:p>
        </w:tc>
        <w:tc>
          <w:tcPr>
            <w:tcW w:w="6362" w:type="dxa"/>
            <w:gridSpan w:val="3"/>
            <w:shd w:val="clear" w:color="auto" w:fill="auto"/>
            <w:vAlign w:val="center"/>
          </w:tcPr>
          <w:p w14:paraId="6E120E0E" w14:textId="77777777" w:rsidR="00612DF0" w:rsidRDefault="00FB2318" w:rsidP="00604F23">
            <w:r>
              <w:rPr>
                <w:color w:val="000000"/>
              </w:rPr>
              <w:t xml:space="preserve">NS-TAST-GD-004 Revision </w:t>
            </w:r>
            <w:r w:rsidR="009A4708">
              <w:rPr>
                <w:color w:val="000000"/>
              </w:rPr>
              <w:t>7</w:t>
            </w:r>
          </w:p>
        </w:tc>
      </w:tr>
      <w:tr w:rsidR="008E67CB" w14:paraId="6E120E14" w14:textId="77777777" w:rsidTr="00C36A41">
        <w:trPr>
          <w:trHeight w:val="340"/>
        </w:trPr>
        <w:tc>
          <w:tcPr>
            <w:tcW w:w="2938" w:type="dxa"/>
            <w:shd w:val="clear" w:color="auto" w:fill="auto"/>
            <w:vAlign w:val="center"/>
          </w:tcPr>
          <w:p w14:paraId="6E120E10" w14:textId="77777777" w:rsidR="008E67CB" w:rsidRPr="00B12DE2" w:rsidRDefault="008E67CB" w:rsidP="00604F23">
            <w:pPr>
              <w:rPr>
                <w:b/>
              </w:rPr>
            </w:pPr>
            <w:r w:rsidRPr="00B12DE2">
              <w:rPr>
                <w:b/>
              </w:rPr>
              <w:t>Date Issued:</w:t>
            </w:r>
          </w:p>
        </w:tc>
        <w:tc>
          <w:tcPr>
            <w:tcW w:w="2160" w:type="dxa"/>
            <w:shd w:val="clear" w:color="auto" w:fill="auto"/>
            <w:vAlign w:val="center"/>
          </w:tcPr>
          <w:p w14:paraId="6E120E11" w14:textId="77777777" w:rsidR="008E67CB" w:rsidRDefault="00FB2318" w:rsidP="009A4708">
            <w:r>
              <w:t>April 201</w:t>
            </w:r>
            <w:r w:rsidR="009A4708">
              <w:t>9</w:t>
            </w:r>
          </w:p>
        </w:tc>
        <w:tc>
          <w:tcPr>
            <w:tcW w:w="2160" w:type="dxa"/>
            <w:shd w:val="clear" w:color="auto" w:fill="auto"/>
            <w:vAlign w:val="center"/>
          </w:tcPr>
          <w:p w14:paraId="6E120E12" w14:textId="77777777" w:rsidR="008E67CB" w:rsidRPr="00B12DE2" w:rsidRDefault="008E67CB" w:rsidP="00604F23">
            <w:pPr>
              <w:rPr>
                <w:b/>
              </w:rPr>
            </w:pPr>
            <w:r w:rsidRPr="00B12DE2">
              <w:rPr>
                <w:b/>
              </w:rPr>
              <w:t>Review Date:</w:t>
            </w:r>
          </w:p>
        </w:tc>
        <w:tc>
          <w:tcPr>
            <w:tcW w:w="2042" w:type="dxa"/>
            <w:shd w:val="clear" w:color="auto" w:fill="auto"/>
            <w:vAlign w:val="center"/>
          </w:tcPr>
          <w:p w14:paraId="6E120E13" w14:textId="69F165D7" w:rsidR="008E67CB" w:rsidRDefault="00FB2318" w:rsidP="009A4708">
            <w:r>
              <w:t>April 20</w:t>
            </w:r>
            <w:r w:rsidR="00785AD5">
              <w:t>2</w:t>
            </w:r>
            <w:r w:rsidR="00546276">
              <w:t>3</w:t>
            </w:r>
          </w:p>
        </w:tc>
      </w:tr>
      <w:tr w:rsidR="008E67CB" w14:paraId="6E120E18" w14:textId="77777777" w:rsidTr="00C36A41">
        <w:trPr>
          <w:trHeight w:val="340"/>
        </w:trPr>
        <w:tc>
          <w:tcPr>
            <w:tcW w:w="2938" w:type="dxa"/>
            <w:shd w:val="clear" w:color="auto" w:fill="auto"/>
            <w:vAlign w:val="center"/>
          </w:tcPr>
          <w:p w14:paraId="6E120E15" w14:textId="77777777" w:rsidR="008E67CB" w:rsidRPr="00B12DE2" w:rsidRDefault="008E67CB" w:rsidP="00604F23">
            <w:pPr>
              <w:rPr>
                <w:b/>
              </w:rPr>
            </w:pPr>
            <w:r w:rsidRPr="00B12DE2">
              <w:rPr>
                <w:b/>
              </w:rPr>
              <w:t>Prepared by:</w:t>
            </w:r>
          </w:p>
        </w:tc>
        <w:tc>
          <w:tcPr>
            <w:tcW w:w="2160" w:type="dxa"/>
            <w:shd w:val="clear" w:color="auto" w:fill="auto"/>
            <w:vAlign w:val="center"/>
          </w:tcPr>
          <w:p w14:paraId="6E120E16" w14:textId="1F92B2DD" w:rsidR="008E67CB" w:rsidRDefault="008E67CB" w:rsidP="00604F23"/>
        </w:tc>
        <w:tc>
          <w:tcPr>
            <w:tcW w:w="4202" w:type="dxa"/>
            <w:gridSpan w:val="2"/>
            <w:shd w:val="clear" w:color="auto" w:fill="auto"/>
            <w:vAlign w:val="center"/>
          </w:tcPr>
          <w:p w14:paraId="6E120E17" w14:textId="77777777" w:rsidR="008E67CB" w:rsidRDefault="00FB2318" w:rsidP="00604F23">
            <w:r>
              <w:t>Inspector</w:t>
            </w:r>
          </w:p>
        </w:tc>
      </w:tr>
      <w:tr w:rsidR="008E67CB" w14:paraId="6E120E1C" w14:textId="77777777" w:rsidTr="00C36A41">
        <w:trPr>
          <w:trHeight w:val="340"/>
        </w:trPr>
        <w:tc>
          <w:tcPr>
            <w:tcW w:w="2938" w:type="dxa"/>
            <w:shd w:val="clear" w:color="auto" w:fill="auto"/>
            <w:vAlign w:val="center"/>
          </w:tcPr>
          <w:p w14:paraId="6E120E19" w14:textId="77777777" w:rsidR="008E67CB" w:rsidRPr="00B12DE2" w:rsidRDefault="008E67CB" w:rsidP="00604F23">
            <w:pPr>
              <w:rPr>
                <w:b/>
              </w:rPr>
            </w:pPr>
            <w:r w:rsidRPr="00B12DE2">
              <w:rPr>
                <w:b/>
              </w:rPr>
              <w:t>Approved by:</w:t>
            </w:r>
          </w:p>
        </w:tc>
        <w:tc>
          <w:tcPr>
            <w:tcW w:w="2160" w:type="dxa"/>
            <w:shd w:val="clear" w:color="auto" w:fill="auto"/>
            <w:vAlign w:val="center"/>
          </w:tcPr>
          <w:p w14:paraId="6E120E1A" w14:textId="59E48D25" w:rsidR="008E67CB" w:rsidRPr="00C36A41" w:rsidRDefault="008E67CB" w:rsidP="00604F23">
            <w:pPr>
              <w:rPr>
                <w:highlight w:val="yellow"/>
              </w:rPr>
            </w:pPr>
          </w:p>
        </w:tc>
        <w:tc>
          <w:tcPr>
            <w:tcW w:w="4202" w:type="dxa"/>
            <w:gridSpan w:val="2"/>
            <w:shd w:val="clear" w:color="auto" w:fill="auto"/>
            <w:vAlign w:val="center"/>
          </w:tcPr>
          <w:p w14:paraId="6E120E1B" w14:textId="77777777" w:rsidR="008E67CB" w:rsidRPr="00C36A41" w:rsidRDefault="00F26C98" w:rsidP="00604F23">
            <w:pPr>
              <w:rPr>
                <w:highlight w:val="yellow"/>
              </w:rPr>
            </w:pPr>
            <w:r w:rsidRPr="00F26C98">
              <w:t>Professional Lead</w:t>
            </w:r>
          </w:p>
        </w:tc>
      </w:tr>
      <w:tr w:rsidR="008E67CB" w14:paraId="6E120E1F" w14:textId="77777777" w:rsidTr="00C36A41">
        <w:trPr>
          <w:trHeight w:val="288"/>
        </w:trPr>
        <w:tc>
          <w:tcPr>
            <w:tcW w:w="2938" w:type="dxa"/>
            <w:shd w:val="clear" w:color="auto" w:fill="auto"/>
            <w:vAlign w:val="center"/>
          </w:tcPr>
          <w:p w14:paraId="6E120E1D" w14:textId="77777777" w:rsidR="008E67CB" w:rsidRPr="00B12DE2" w:rsidRDefault="008E67CB" w:rsidP="00604F23">
            <w:pPr>
              <w:rPr>
                <w:b/>
              </w:rPr>
            </w:pPr>
            <w:r w:rsidRPr="00B12DE2">
              <w:rPr>
                <w:b/>
              </w:rPr>
              <w:t>Record Reference:</w:t>
            </w:r>
          </w:p>
        </w:tc>
        <w:tc>
          <w:tcPr>
            <w:tcW w:w="6362" w:type="dxa"/>
            <w:gridSpan w:val="3"/>
            <w:shd w:val="clear" w:color="auto" w:fill="auto"/>
            <w:vAlign w:val="center"/>
          </w:tcPr>
          <w:p w14:paraId="6E120E1E" w14:textId="2ADF3B64" w:rsidR="008E67CB" w:rsidRDefault="008E67CB" w:rsidP="00996D25">
            <w:r w:rsidRPr="00996D25">
              <w:t xml:space="preserve">Folder </w:t>
            </w:r>
            <w:r w:rsidR="00FB2318" w:rsidRPr="00996D25">
              <w:t>1</w:t>
            </w:r>
            <w:r w:rsidR="00996D25" w:rsidRPr="00996D25">
              <w:t>.1.3.978</w:t>
            </w:r>
            <w:r w:rsidRPr="00996D25">
              <w:t>. (</w:t>
            </w:r>
            <w:r w:rsidR="00FB2318" w:rsidRPr="00996D25">
              <w:t>201</w:t>
            </w:r>
            <w:r w:rsidR="00996D25" w:rsidRPr="00996D25">
              <w:t>9</w:t>
            </w:r>
            <w:r w:rsidR="00B80AB7" w:rsidRPr="00996D25">
              <w:t>/</w:t>
            </w:r>
            <w:r w:rsidR="00996D25" w:rsidRPr="00996D25">
              <w:t>0101578</w:t>
            </w:r>
            <w:r w:rsidRPr="00996D25">
              <w:t>)</w:t>
            </w:r>
          </w:p>
        </w:tc>
      </w:tr>
      <w:tr w:rsidR="008E67CB" w14:paraId="6E120E22" w14:textId="77777777" w:rsidTr="00C36A41">
        <w:trPr>
          <w:trHeight w:val="288"/>
        </w:trPr>
        <w:tc>
          <w:tcPr>
            <w:tcW w:w="2938" w:type="dxa"/>
            <w:shd w:val="clear" w:color="auto" w:fill="auto"/>
            <w:vAlign w:val="center"/>
          </w:tcPr>
          <w:p w14:paraId="6E120E20" w14:textId="77777777" w:rsidR="008E67CB" w:rsidRPr="00B12DE2" w:rsidRDefault="008E67CB" w:rsidP="00604F23">
            <w:pPr>
              <w:rPr>
                <w:b/>
              </w:rPr>
            </w:pPr>
            <w:r w:rsidRPr="00B12DE2">
              <w:rPr>
                <w:b/>
              </w:rPr>
              <w:t>Revision commentary:</w:t>
            </w:r>
          </w:p>
        </w:tc>
        <w:tc>
          <w:tcPr>
            <w:tcW w:w="6362" w:type="dxa"/>
            <w:gridSpan w:val="3"/>
            <w:shd w:val="clear" w:color="auto" w:fill="auto"/>
            <w:vAlign w:val="center"/>
          </w:tcPr>
          <w:p w14:paraId="7E7308B2" w14:textId="77777777" w:rsidR="008E67CB" w:rsidRDefault="00CA3799" w:rsidP="00CA3799">
            <w:pPr>
              <w:rPr>
                <w:szCs w:val="22"/>
              </w:rPr>
            </w:pPr>
            <w:r w:rsidRPr="00CA3799">
              <w:rPr>
                <w:szCs w:val="22"/>
              </w:rPr>
              <w:t xml:space="preserve">Minor editorial changes </w:t>
            </w:r>
            <w:r>
              <w:rPr>
                <w:szCs w:val="22"/>
              </w:rPr>
              <w:t xml:space="preserve">made </w:t>
            </w:r>
            <w:r w:rsidRPr="00CA3799">
              <w:rPr>
                <w:szCs w:val="22"/>
              </w:rPr>
              <w:t>and additional advice to assessors relat</w:t>
            </w:r>
            <w:r>
              <w:rPr>
                <w:szCs w:val="22"/>
              </w:rPr>
              <w:t>ing</w:t>
            </w:r>
            <w:r w:rsidRPr="00CA3799">
              <w:rPr>
                <w:szCs w:val="22"/>
              </w:rPr>
              <w:t xml:space="preserve"> to ‘reasonably practicable’ added as part of planned review. </w:t>
            </w:r>
            <w:r w:rsidR="00683740" w:rsidRPr="00CA3799">
              <w:rPr>
                <w:szCs w:val="22"/>
              </w:rPr>
              <w:t xml:space="preserve">Updated </w:t>
            </w:r>
            <w:r w:rsidR="009A4708" w:rsidRPr="00CA3799">
              <w:rPr>
                <w:szCs w:val="22"/>
              </w:rPr>
              <w:t>April 2019</w:t>
            </w:r>
            <w:r w:rsidR="00683740" w:rsidRPr="00CA3799">
              <w:rPr>
                <w:szCs w:val="22"/>
              </w:rPr>
              <w:t>.</w:t>
            </w:r>
          </w:p>
          <w:p w14:paraId="6E120E21" w14:textId="2148EA04" w:rsidR="00D7665F" w:rsidRPr="00CA3799" w:rsidRDefault="00D7665F" w:rsidP="00CA3799">
            <w:pPr>
              <w:rPr>
                <w:szCs w:val="22"/>
              </w:rPr>
            </w:pPr>
            <w:r>
              <w:rPr>
                <w:rFonts w:cs="Arial"/>
                <w:sz w:val="24"/>
              </w:rPr>
              <w:t>7.1 - Minor update to remove extant URLs from the document to mitigate potential configuration control issues arising as a result of changes to third-party web domains</w:t>
            </w:r>
          </w:p>
        </w:tc>
      </w:tr>
    </w:tbl>
    <w:p w14:paraId="6E120E23" w14:textId="77777777" w:rsidR="00D55197" w:rsidRDefault="00D55197" w:rsidP="008E67CB"/>
    <w:p w14:paraId="6E120E24" w14:textId="77777777" w:rsidR="008E67CB" w:rsidRPr="008E67CB" w:rsidRDefault="008E67CB" w:rsidP="008E67CB">
      <w:pPr>
        <w:jc w:val="center"/>
        <w:rPr>
          <w:b/>
        </w:rPr>
      </w:pPr>
      <w:r w:rsidRPr="008E67CB">
        <w:rPr>
          <w:b/>
        </w:rPr>
        <w:t>TABLE OF CONTENTS</w:t>
      </w:r>
    </w:p>
    <w:p w14:paraId="6E120E25" w14:textId="77777777" w:rsidR="008E67CB" w:rsidRDefault="008E67CB" w:rsidP="008E67CB"/>
    <w:p w14:paraId="6E120E26" w14:textId="77777777" w:rsidR="0052749F" w:rsidRDefault="004750A2">
      <w:pPr>
        <w:pStyle w:val="TOC1"/>
        <w:rPr>
          <w:rFonts w:asciiTheme="minorHAnsi" w:eastAsiaTheme="minorEastAsia" w:hAnsiTheme="minorHAnsi" w:cstheme="minorBidi"/>
          <w:caps w:val="0"/>
          <w:noProof/>
          <w:szCs w:val="22"/>
          <w:lang w:eastAsia="en-GB"/>
        </w:rPr>
      </w:pPr>
      <w:r>
        <w:fldChar w:fldCharType="begin"/>
      </w:r>
      <w:r>
        <w:instrText xml:space="preserve"> TOC \h \z \t "TS Heading Numbered 1,1" </w:instrText>
      </w:r>
      <w:r>
        <w:fldChar w:fldCharType="separate"/>
      </w:r>
      <w:hyperlink w:anchor="_Toc5280390" w:history="1">
        <w:r w:rsidR="0052749F" w:rsidRPr="00A57BFA">
          <w:rPr>
            <w:rStyle w:val="Hyperlink"/>
            <w:noProof/>
          </w:rPr>
          <w:t>1.</w:t>
        </w:r>
        <w:r w:rsidR="0052749F">
          <w:rPr>
            <w:rFonts w:asciiTheme="minorHAnsi" w:eastAsiaTheme="minorEastAsia" w:hAnsiTheme="minorHAnsi" w:cstheme="minorBidi"/>
            <w:caps w:val="0"/>
            <w:noProof/>
            <w:szCs w:val="22"/>
            <w:lang w:eastAsia="en-GB"/>
          </w:rPr>
          <w:tab/>
        </w:r>
        <w:r w:rsidR="0052749F" w:rsidRPr="00A57BFA">
          <w:rPr>
            <w:rStyle w:val="Hyperlink"/>
            <w:noProof/>
          </w:rPr>
          <w:t>INTRODUCTION</w:t>
        </w:r>
        <w:r w:rsidR="0052749F">
          <w:rPr>
            <w:noProof/>
            <w:webHidden/>
          </w:rPr>
          <w:tab/>
        </w:r>
        <w:r w:rsidR="0052749F">
          <w:rPr>
            <w:noProof/>
            <w:webHidden/>
          </w:rPr>
          <w:fldChar w:fldCharType="begin"/>
        </w:r>
        <w:r w:rsidR="0052749F">
          <w:rPr>
            <w:noProof/>
            <w:webHidden/>
          </w:rPr>
          <w:instrText xml:space="preserve"> PAGEREF _Toc5280390 \h </w:instrText>
        </w:r>
        <w:r w:rsidR="0052749F">
          <w:rPr>
            <w:noProof/>
            <w:webHidden/>
          </w:rPr>
        </w:r>
        <w:r w:rsidR="0052749F">
          <w:rPr>
            <w:noProof/>
            <w:webHidden/>
          </w:rPr>
          <w:fldChar w:fldCharType="separate"/>
        </w:r>
        <w:r w:rsidR="00D27C36">
          <w:rPr>
            <w:noProof/>
            <w:webHidden/>
          </w:rPr>
          <w:t>2</w:t>
        </w:r>
        <w:r w:rsidR="0052749F">
          <w:rPr>
            <w:noProof/>
            <w:webHidden/>
          </w:rPr>
          <w:fldChar w:fldCharType="end"/>
        </w:r>
      </w:hyperlink>
    </w:p>
    <w:p w14:paraId="6E120E27" w14:textId="77777777" w:rsidR="0052749F" w:rsidRDefault="00F42422">
      <w:pPr>
        <w:pStyle w:val="TOC1"/>
        <w:rPr>
          <w:rFonts w:asciiTheme="minorHAnsi" w:eastAsiaTheme="minorEastAsia" w:hAnsiTheme="minorHAnsi" w:cstheme="minorBidi"/>
          <w:caps w:val="0"/>
          <w:noProof/>
          <w:szCs w:val="22"/>
          <w:lang w:eastAsia="en-GB"/>
        </w:rPr>
      </w:pPr>
      <w:hyperlink w:anchor="_Toc5280391" w:history="1">
        <w:r w:rsidR="0052749F" w:rsidRPr="00A57BFA">
          <w:rPr>
            <w:rStyle w:val="Hyperlink"/>
            <w:noProof/>
            <w:lang w:val="en"/>
          </w:rPr>
          <w:t>2.</w:t>
        </w:r>
        <w:r w:rsidR="0052749F">
          <w:rPr>
            <w:rFonts w:asciiTheme="minorHAnsi" w:eastAsiaTheme="minorEastAsia" w:hAnsiTheme="minorHAnsi" w:cstheme="minorBidi"/>
            <w:caps w:val="0"/>
            <w:noProof/>
            <w:szCs w:val="22"/>
            <w:lang w:eastAsia="en-GB"/>
          </w:rPr>
          <w:tab/>
        </w:r>
        <w:r w:rsidR="0052749F" w:rsidRPr="00A57BFA">
          <w:rPr>
            <w:rStyle w:val="Hyperlink"/>
            <w:noProof/>
            <w:lang w:val="en"/>
          </w:rPr>
          <w:t>Purpose and scope</w:t>
        </w:r>
        <w:r w:rsidR="0052749F">
          <w:rPr>
            <w:noProof/>
            <w:webHidden/>
          </w:rPr>
          <w:tab/>
        </w:r>
        <w:r w:rsidR="0052749F">
          <w:rPr>
            <w:noProof/>
            <w:webHidden/>
          </w:rPr>
          <w:fldChar w:fldCharType="begin"/>
        </w:r>
        <w:r w:rsidR="0052749F">
          <w:rPr>
            <w:noProof/>
            <w:webHidden/>
          </w:rPr>
          <w:instrText xml:space="preserve"> PAGEREF _Toc5280391 \h </w:instrText>
        </w:r>
        <w:r w:rsidR="0052749F">
          <w:rPr>
            <w:noProof/>
            <w:webHidden/>
          </w:rPr>
        </w:r>
        <w:r w:rsidR="0052749F">
          <w:rPr>
            <w:noProof/>
            <w:webHidden/>
          </w:rPr>
          <w:fldChar w:fldCharType="separate"/>
        </w:r>
        <w:r w:rsidR="00D27C36">
          <w:rPr>
            <w:noProof/>
            <w:webHidden/>
          </w:rPr>
          <w:t>2</w:t>
        </w:r>
        <w:r w:rsidR="0052749F">
          <w:rPr>
            <w:noProof/>
            <w:webHidden/>
          </w:rPr>
          <w:fldChar w:fldCharType="end"/>
        </w:r>
      </w:hyperlink>
    </w:p>
    <w:p w14:paraId="6E120E28" w14:textId="77777777" w:rsidR="0052749F" w:rsidRDefault="00F42422">
      <w:pPr>
        <w:pStyle w:val="TOC1"/>
        <w:rPr>
          <w:rFonts w:asciiTheme="minorHAnsi" w:eastAsiaTheme="minorEastAsia" w:hAnsiTheme="minorHAnsi" w:cstheme="minorBidi"/>
          <w:caps w:val="0"/>
          <w:noProof/>
          <w:szCs w:val="22"/>
          <w:lang w:eastAsia="en-GB"/>
        </w:rPr>
      </w:pPr>
      <w:hyperlink w:anchor="_Toc5280392" w:history="1">
        <w:r w:rsidR="0052749F" w:rsidRPr="00A57BFA">
          <w:rPr>
            <w:rStyle w:val="Hyperlink"/>
            <w:noProof/>
            <w:lang w:val="en"/>
          </w:rPr>
          <w:t>3.</w:t>
        </w:r>
        <w:r w:rsidR="0052749F">
          <w:rPr>
            <w:rFonts w:asciiTheme="minorHAnsi" w:eastAsiaTheme="minorEastAsia" w:hAnsiTheme="minorHAnsi" w:cstheme="minorBidi"/>
            <w:caps w:val="0"/>
            <w:noProof/>
            <w:szCs w:val="22"/>
            <w:lang w:eastAsia="en-GB"/>
          </w:rPr>
          <w:tab/>
        </w:r>
        <w:r w:rsidR="0052749F" w:rsidRPr="00A57BFA">
          <w:rPr>
            <w:rStyle w:val="Hyperlink"/>
            <w:noProof/>
            <w:lang w:val="en"/>
          </w:rPr>
          <w:t>Relation to licence and other relevant legislation</w:t>
        </w:r>
        <w:r w:rsidR="0052749F">
          <w:rPr>
            <w:noProof/>
            <w:webHidden/>
          </w:rPr>
          <w:tab/>
        </w:r>
        <w:r w:rsidR="0052749F">
          <w:rPr>
            <w:noProof/>
            <w:webHidden/>
          </w:rPr>
          <w:fldChar w:fldCharType="begin"/>
        </w:r>
        <w:r w:rsidR="0052749F">
          <w:rPr>
            <w:noProof/>
            <w:webHidden/>
          </w:rPr>
          <w:instrText xml:space="preserve"> PAGEREF _Toc5280392 \h </w:instrText>
        </w:r>
        <w:r w:rsidR="0052749F">
          <w:rPr>
            <w:noProof/>
            <w:webHidden/>
          </w:rPr>
        </w:r>
        <w:r w:rsidR="0052749F">
          <w:rPr>
            <w:noProof/>
            <w:webHidden/>
          </w:rPr>
          <w:fldChar w:fldCharType="separate"/>
        </w:r>
        <w:r w:rsidR="00D27C36">
          <w:rPr>
            <w:noProof/>
            <w:webHidden/>
          </w:rPr>
          <w:t>2</w:t>
        </w:r>
        <w:r w:rsidR="0052749F">
          <w:rPr>
            <w:noProof/>
            <w:webHidden/>
          </w:rPr>
          <w:fldChar w:fldCharType="end"/>
        </w:r>
      </w:hyperlink>
    </w:p>
    <w:p w14:paraId="6E120E29" w14:textId="77777777" w:rsidR="0052749F" w:rsidRDefault="00F42422">
      <w:pPr>
        <w:pStyle w:val="TOC1"/>
        <w:rPr>
          <w:rFonts w:asciiTheme="minorHAnsi" w:eastAsiaTheme="minorEastAsia" w:hAnsiTheme="minorHAnsi" w:cstheme="minorBidi"/>
          <w:caps w:val="0"/>
          <w:noProof/>
          <w:szCs w:val="22"/>
          <w:lang w:eastAsia="en-GB"/>
        </w:rPr>
      </w:pPr>
      <w:hyperlink w:anchor="_Toc5280393" w:history="1">
        <w:r w:rsidR="0052749F" w:rsidRPr="00A57BFA">
          <w:rPr>
            <w:rStyle w:val="Hyperlink"/>
            <w:noProof/>
            <w:lang w:val="en"/>
          </w:rPr>
          <w:t>4.</w:t>
        </w:r>
        <w:r w:rsidR="0052749F">
          <w:rPr>
            <w:rFonts w:asciiTheme="minorHAnsi" w:eastAsiaTheme="minorEastAsia" w:hAnsiTheme="minorHAnsi" w:cstheme="minorBidi"/>
            <w:caps w:val="0"/>
            <w:noProof/>
            <w:szCs w:val="22"/>
            <w:lang w:eastAsia="en-GB"/>
          </w:rPr>
          <w:tab/>
        </w:r>
        <w:r w:rsidR="0052749F" w:rsidRPr="00A57BFA">
          <w:rPr>
            <w:rStyle w:val="Hyperlink"/>
            <w:noProof/>
            <w:lang w:val="en"/>
          </w:rPr>
          <w:t>Relation to SAPs, WENRA Reference Levels and IAEA Safety Standards</w:t>
        </w:r>
        <w:r w:rsidR="0052749F">
          <w:rPr>
            <w:noProof/>
            <w:webHidden/>
          </w:rPr>
          <w:tab/>
        </w:r>
        <w:r w:rsidR="0052749F">
          <w:rPr>
            <w:noProof/>
            <w:webHidden/>
          </w:rPr>
          <w:fldChar w:fldCharType="begin"/>
        </w:r>
        <w:r w:rsidR="0052749F">
          <w:rPr>
            <w:noProof/>
            <w:webHidden/>
          </w:rPr>
          <w:instrText xml:space="preserve"> PAGEREF _Toc5280393 \h </w:instrText>
        </w:r>
        <w:r w:rsidR="0052749F">
          <w:rPr>
            <w:noProof/>
            <w:webHidden/>
          </w:rPr>
        </w:r>
        <w:r w:rsidR="0052749F">
          <w:rPr>
            <w:noProof/>
            <w:webHidden/>
          </w:rPr>
          <w:fldChar w:fldCharType="separate"/>
        </w:r>
        <w:r w:rsidR="00D27C36">
          <w:rPr>
            <w:noProof/>
            <w:webHidden/>
          </w:rPr>
          <w:t>4</w:t>
        </w:r>
        <w:r w:rsidR="0052749F">
          <w:rPr>
            <w:noProof/>
            <w:webHidden/>
          </w:rPr>
          <w:fldChar w:fldCharType="end"/>
        </w:r>
      </w:hyperlink>
    </w:p>
    <w:p w14:paraId="6E120E2A" w14:textId="77777777" w:rsidR="0052749F" w:rsidRDefault="00F42422">
      <w:pPr>
        <w:pStyle w:val="TOC1"/>
        <w:rPr>
          <w:rFonts w:asciiTheme="minorHAnsi" w:eastAsiaTheme="minorEastAsia" w:hAnsiTheme="minorHAnsi" w:cstheme="minorBidi"/>
          <w:caps w:val="0"/>
          <w:noProof/>
          <w:szCs w:val="22"/>
          <w:lang w:eastAsia="en-GB"/>
        </w:rPr>
      </w:pPr>
      <w:hyperlink w:anchor="_Toc5280394" w:history="1">
        <w:r w:rsidR="0052749F" w:rsidRPr="00A57BFA">
          <w:rPr>
            <w:rStyle w:val="Hyperlink"/>
            <w:noProof/>
          </w:rPr>
          <w:t>5.</w:t>
        </w:r>
        <w:r w:rsidR="0052749F">
          <w:rPr>
            <w:rFonts w:asciiTheme="minorHAnsi" w:eastAsiaTheme="minorEastAsia" w:hAnsiTheme="minorHAnsi" w:cstheme="minorBidi"/>
            <w:caps w:val="0"/>
            <w:noProof/>
            <w:szCs w:val="22"/>
            <w:lang w:eastAsia="en-GB"/>
          </w:rPr>
          <w:tab/>
        </w:r>
        <w:r w:rsidR="0052749F" w:rsidRPr="00A57BFA">
          <w:rPr>
            <w:rStyle w:val="Hyperlink"/>
            <w:noProof/>
          </w:rPr>
          <w:t>Advice to assessors</w:t>
        </w:r>
        <w:r w:rsidR="0052749F">
          <w:rPr>
            <w:noProof/>
            <w:webHidden/>
          </w:rPr>
          <w:tab/>
        </w:r>
        <w:r w:rsidR="0052749F">
          <w:rPr>
            <w:noProof/>
            <w:webHidden/>
          </w:rPr>
          <w:fldChar w:fldCharType="begin"/>
        </w:r>
        <w:r w:rsidR="0052749F">
          <w:rPr>
            <w:noProof/>
            <w:webHidden/>
          </w:rPr>
          <w:instrText xml:space="preserve"> PAGEREF _Toc5280394 \h </w:instrText>
        </w:r>
        <w:r w:rsidR="0052749F">
          <w:rPr>
            <w:noProof/>
            <w:webHidden/>
          </w:rPr>
        </w:r>
        <w:r w:rsidR="0052749F">
          <w:rPr>
            <w:noProof/>
            <w:webHidden/>
          </w:rPr>
          <w:fldChar w:fldCharType="separate"/>
        </w:r>
        <w:r w:rsidR="00D27C36">
          <w:rPr>
            <w:noProof/>
            <w:webHidden/>
          </w:rPr>
          <w:t>6</w:t>
        </w:r>
        <w:r w:rsidR="0052749F">
          <w:rPr>
            <w:noProof/>
            <w:webHidden/>
          </w:rPr>
          <w:fldChar w:fldCharType="end"/>
        </w:r>
      </w:hyperlink>
    </w:p>
    <w:p w14:paraId="6E120E2B" w14:textId="77777777" w:rsidR="0052749F" w:rsidRDefault="00F42422">
      <w:pPr>
        <w:pStyle w:val="TOC1"/>
        <w:rPr>
          <w:rFonts w:asciiTheme="minorHAnsi" w:eastAsiaTheme="minorEastAsia" w:hAnsiTheme="minorHAnsi" w:cstheme="minorBidi"/>
          <w:caps w:val="0"/>
          <w:noProof/>
          <w:szCs w:val="22"/>
          <w:lang w:eastAsia="en-GB"/>
        </w:rPr>
      </w:pPr>
      <w:hyperlink w:anchor="_Toc5280395" w:history="1">
        <w:r w:rsidR="0052749F" w:rsidRPr="00A57BFA">
          <w:rPr>
            <w:rStyle w:val="Hyperlink"/>
            <w:noProof/>
            <w:lang w:val="en"/>
          </w:rPr>
          <w:t>6.</w:t>
        </w:r>
        <w:r w:rsidR="0052749F">
          <w:rPr>
            <w:rFonts w:asciiTheme="minorHAnsi" w:eastAsiaTheme="minorEastAsia" w:hAnsiTheme="minorHAnsi" w:cstheme="minorBidi"/>
            <w:caps w:val="0"/>
            <w:noProof/>
            <w:szCs w:val="22"/>
            <w:lang w:eastAsia="en-GB"/>
          </w:rPr>
          <w:tab/>
        </w:r>
        <w:r w:rsidR="0052749F" w:rsidRPr="00A57BFA">
          <w:rPr>
            <w:rStyle w:val="Hyperlink"/>
            <w:bCs/>
            <w:noProof/>
            <w:lang w:val="en"/>
          </w:rPr>
          <w:t>References</w:t>
        </w:r>
        <w:r w:rsidR="0052749F">
          <w:rPr>
            <w:noProof/>
            <w:webHidden/>
          </w:rPr>
          <w:tab/>
        </w:r>
        <w:r w:rsidR="0052749F">
          <w:rPr>
            <w:noProof/>
            <w:webHidden/>
          </w:rPr>
          <w:fldChar w:fldCharType="begin"/>
        </w:r>
        <w:r w:rsidR="0052749F">
          <w:rPr>
            <w:noProof/>
            <w:webHidden/>
          </w:rPr>
          <w:instrText xml:space="preserve"> PAGEREF _Toc5280395 \h </w:instrText>
        </w:r>
        <w:r w:rsidR="0052749F">
          <w:rPr>
            <w:noProof/>
            <w:webHidden/>
          </w:rPr>
        </w:r>
        <w:r w:rsidR="0052749F">
          <w:rPr>
            <w:noProof/>
            <w:webHidden/>
          </w:rPr>
          <w:fldChar w:fldCharType="separate"/>
        </w:r>
        <w:r w:rsidR="00D27C36">
          <w:rPr>
            <w:noProof/>
            <w:webHidden/>
          </w:rPr>
          <w:t>8</w:t>
        </w:r>
        <w:r w:rsidR="0052749F">
          <w:rPr>
            <w:noProof/>
            <w:webHidden/>
          </w:rPr>
          <w:fldChar w:fldCharType="end"/>
        </w:r>
      </w:hyperlink>
    </w:p>
    <w:p w14:paraId="6E120E2C" w14:textId="77777777" w:rsidR="008E67CB" w:rsidRDefault="004750A2" w:rsidP="008E67CB">
      <w:r>
        <w:fldChar w:fldCharType="end"/>
      </w:r>
    </w:p>
    <w:p w14:paraId="6E120E2D" w14:textId="77777777" w:rsidR="00604F23" w:rsidRDefault="00604F23" w:rsidP="008E67CB"/>
    <w:p w14:paraId="6E120E2E" w14:textId="77777777" w:rsidR="00F96DFE" w:rsidRDefault="00F96DFE" w:rsidP="00F96DFE">
      <w:pPr>
        <w:outlineLvl w:val="1"/>
        <w:rPr>
          <w:rFonts w:cs="Arial"/>
          <w:bCs/>
          <w:i/>
          <w:kern w:val="36"/>
          <w:sz w:val="16"/>
          <w:szCs w:val="16"/>
        </w:rPr>
      </w:pPr>
    </w:p>
    <w:p w14:paraId="6E120E2F" w14:textId="77777777" w:rsidR="00F96DFE" w:rsidRDefault="00F96DFE" w:rsidP="00F96DFE">
      <w:pPr>
        <w:outlineLvl w:val="1"/>
        <w:rPr>
          <w:rFonts w:cs="Arial"/>
          <w:bCs/>
          <w:i/>
          <w:kern w:val="36"/>
          <w:sz w:val="16"/>
          <w:szCs w:val="16"/>
        </w:rPr>
      </w:pPr>
    </w:p>
    <w:p w14:paraId="6E120E30" w14:textId="77777777" w:rsidR="00F96DFE" w:rsidRDefault="00F96DFE" w:rsidP="00F96DFE">
      <w:pPr>
        <w:outlineLvl w:val="1"/>
        <w:rPr>
          <w:rFonts w:cs="Arial"/>
          <w:bCs/>
          <w:i/>
          <w:kern w:val="36"/>
          <w:sz w:val="16"/>
          <w:szCs w:val="16"/>
        </w:rPr>
      </w:pPr>
    </w:p>
    <w:p w14:paraId="6E120E31" w14:textId="77777777" w:rsidR="00F96DFE" w:rsidRDefault="00F96DFE" w:rsidP="00F96DFE">
      <w:pPr>
        <w:outlineLvl w:val="1"/>
        <w:rPr>
          <w:rFonts w:cs="Arial"/>
          <w:bCs/>
          <w:i/>
          <w:kern w:val="36"/>
          <w:sz w:val="16"/>
          <w:szCs w:val="16"/>
        </w:rPr>
      </w:pPr>
    </w:p>
    <w:p w14:paraId="6E120E32" w14:textId="77777777" w:rsidR="00F96DFE" w:rsidRDefault="00F96DFE" w:rsidP="00F96DFE">
      <w:pPr>
        <w:outlineLvl w:val="1"/>
        <w:rPr>
          <w:rFonts w:cs="Arial"/>
          <w:bCs/>
          <w:i/>
          <w:kern w:val="36"/>
          <w:sz w:val="16"/>
          <w:szCs w:val="16"/>
        </w:rPr>
      </w:pPr>
    </w:p>
    <w:p w14:paraId="6E120E33" w14:textId="77777777" w:rsidR="00F96DFE" w:rsidRDefault="00F96DFE" w:rsidP="00F96DFE">
      <w:pPr>
        <w:outlineLvl w:val="1"/>
        <w:rPr>
          <w:rFonts w:cs="Arial"/>
          <w:bCs/>
          <w:i/>
          <w:kern w:val="36"/>
          <w:sz w:val="16"/>
          <w:szCs w:val="16"/>
        </w:rPr>
      </w:pPr>
    </w:p>
    <w:p w14:paraId="6E120E34" w14:textId="77777777" w:rsidR="00F96DFE" w:rsidRDefault="00F96DFE" w:rsidP="00F96DFE">
      <w:pPr>
        <w:outlineLvl w:val="1"/>
        <w:rPr>
          <w:rFonts w:cs="Arial"/>
          <w:bCs/>
          <w:i/>
          <w:kern w:val="36"/>
          <w:sz w:val="16"/>
          <w:szCs w:val="16"/>
        </w:rPr>
      </w:pPr>
    </w:p>
    <w:p w14:paraId="6E120E35" w14:textId="77777777" w:rsidR="00F96DFE" w:rsidRDefault="00F96DFE" w:rsidP="00F96DFE">
      <w:pPr>
        <w:outlineLvl w:val="1"/>
        <w:rPr>
          <w:rFonts w:cs="Arial"/>
          <w:bCs/>
          <w:i/>
          <w:kern w:val="36"/>
          <w:sz w:val="16"/>
          <w:szCs w:val="16"/>
        </w:rPr>
      </w:pPr>
    </w:p>
    <w:p w14:paraId="6E120E36" w14:textId="77777777" w:rsidR="00F96DFE" w:rsidRDefault="00F96DFE" w:rsidP="00F96DFE">
      <w:pPr>
        <w:outlineLvl w:val="1"/>
        <w:rPr>
          <w:rFonts w:cs="Arial"/>
          <w:bCs/>
          <w:i/>
          <w:kern w:val="36"/>
          <w:sz w:val="16"/>
          <w:szCs w:val="16"/>
        </w:rPr>
      </w:pPr>
    </w:p>
    <w:p w14:paraId="6E120E37" w14:textId="77777777" w:rsidR="00F96DFE" w:rsidRDefault="00F96DFE" w:rsidP="00F96DFE">
      <w:pPr>
        <w:outlineLvl w:val="1"/>
        <w:rPr>
          <w:rFonts w:cs="Arial"/>
          <w:bCs/>
          <w:i/>
          <w:kern w:val="36"/>
          <w:sz w:val="16"/>
          <w:szCs w:val="16"/>
        </w:rPr>
      </w:pPr>
    </w:p>
    <w:p w14:paraId="6E120E38" w14:textId="77777777" w:rsidR="00F96DFE" w:rsidRDefault="00F96DFE" w:rsidP="00F96DFE">
      <w:pPr>
        <w:outlineLvl w:val="1"/>
        <w:rPr>
          <w:rFonts w:cs="Arial"/>
          <w:bCs/>
          <w:i/>
          <w:kern w:val="36"/>
          <w:sz w:val="16"/>
          <w:szCs w:val="16"/>
        </w:rPr>
      </w:pPr>
    </w:p>
    <w:p w14:paraId="6E120E39" w14:textId="77777777" w:rsidR="00F96DFE" w:rsidRDefault="00F96DFE" w:rsidP="00F96DFE">
      <w:pPr>
        <w:outlineLvl w:val="1"/>
        <w:rPr>
          <w:rFonts w:cs="Arial"/>
          <w:bCs/>
          <w:i/>
          <w:kern w:val="36"/>
          <w:sz w:val="16"/>
          <w:szCs w:val="16"/>
        </w:rPr>
      </w:pPr>
    </w:p>
    <w:p w14:paraId="6E120E3A" w14:textId="77777777" w:rsidR="004C7D09" w:rsidRDefault="004C7D09" w:rsidP="00F96DFE">
      <w:pPr>
        <w:outlineLvl w:val="1"/>
        <w:rPr>
          <w:rFonts w:cs="Arial"/>
          <w:bCs/>
          <w:i/>
          <w:kern w:val="36"/>
          <w:sz w:val="16"/>
          <w:szCs w:val="16"/>
        </w:rPr>
      </w:pPr>
    </w:p>
    <w:p w14:paraId="6E120E3B" w14:textId="77777777" w:rsidR="00F96DFE" w:rsidRDefault="00F96DFE" w:rsidP="00F96DFE">
      <w:pPr>
        <w:outlineLvl w:val="1"/>
        <w:rPr>
          <w:rFonts w:cs="Arial"/>
          <w:bCs/>
          <w:i/>
          <w:kern w:val="36"/>
          <w:sz w:val="16"/>
          <w:szCs w:val="16"/>
        </w:rPr>
      </w:pPr>
    </w:p>
    <w:p w14:paraId="6E120E3C" w14:textId="77777777" w:rsidR="00F96DFE" w:rsidRDefault="00F96DFE" w:rsidP="00F96DFE">
      <w:pPr>
        <w:outlineLvl w:val="1"/>
        <w:rPr>
          <w:rFonts w:cs="Arial"/>
          <w:bCs/>
          <w:i/>
          <w:kern w:val="36"/>
          <w:sz w:val="16"/>
          <w:szCs w:val="16"/>
        </w:rPr>
      </w:pPr>
    </w:p>
    <w:p w14:paraId="6E120E3D" w14:textId="77777777" w:rsidR="00F96DFE" w:rsidRDefault="00F96DFE" w:rsidP="00F96DFE">
      <w:pPr>
        <w:outlineLvl w:val="1"/>
        <w:rPr>
          <w:rFonts w:cs="Arial"/>
          <w:bCs/>
          <w:i/>
          <w:kern w:val="36"/>
          <w:sz w:val="16"/>
          <w:szCs w:val="16"/>
        </w:rPr>
      </w:pPr>
    </w:p>
    <w:p w14:paraId="6E120E3E" w14:textId="77777777" w:rsidR="00F96DFE" w:rsidRDefault="00F96DFE" w:rsidP="00F96DFE">
      <w:pPr>
        <w:outlineLvl w:val="1"/>
        <w:rPr>
          <w:rFonts w:cs="Arial"/>
          <w:bCs/>
          <w:i/>
          <w:kern w:val="36"/>
          <w:sz w:val="16"/>
          <w:szCs w:val="16"/>
        </w:rPr>
      </w:pPr>
    </w:p>
    <w:p w14:paraId="6E120E3F" w14:textId="77777777" w:rsidR="00F96DFE" w:rsidRPr="00F96DFE" w:rsidRDefault="00F96DFE" w:rsidP="00F96DFE">
      <w:pPr>
        <w:outlineLvl w:val="1"/>
        <w:rPr>
          <w:rFonts w:cs="Arial"/>
          <w:bCs/>
          <w:i/>
          <w:kern w:val="36"/>
          <w:sz w:val="16"/>
          <w:szCs w:val="16"/>
        </w:rPr>
      </w:pPr>
      <w:r w:rsidRPr="00F96DFE">
        <w:rPr>
          <w:rFonts w:cs="Arial"/>
          <w:bCs/>
          <w:i/>
          <w:kern w:val="36"/>
          <w:sz w:val="16"/>
          <w:szCs w:val="16"/>
        </w:rPr>
        <w:lastRenderedPageBreak/>
        <w:t xml:space="preserve">© </w:t>
      </w:r>
      <w:r w:rsidR="00532D01">
        <w:rPr>
          <w:rFonts w:cs="Arial"/>
          <w:bCs/>
          <w:i/>
          <w:kern w:val="36"/>
          <w:sz w:val="16"/>
          <w:szCs w:val="16"/>
        </w:rPr>
        <w:t>Off</w:t>
      </w:r>
      <w:r w:rsidR="009A4708">
        <w:rPr>
          <w:rFonts w:cs="Arial"/>
          <w:bCs/>
          <w:i/>
          <w:kern w:val="36"/>
          <w:sz w:val="16"/>
          <w:szCs w:val="16"/>
        </w:rPr>
        <w:t>ice for Nuclear Regulation, 2019</w:t>
      </w:r>
    </w:p>
    <w:p w14:paraId="6E120E40" w14:textId="77777777" w:rsidR="00F96DFE" w:rsidRPr="00F96DFE" w:rsidRDefault="00F96DFE" w:rsidP="00F96DFE">
      <w:pPr>
        <w:outlineLvl w:val="1"/>
        <w:rPr>
          <w:rFonts w:ascii="Times New Roman" w:hAnsi="Times New Roman"/>
          <w:bCs/>
          <w:kern w:val="36"/>
          <w:sz w:val="16"/>
          <w:szCs w:val="16"/>
        </w:rPr>
      </w:pPr>
      <w:r w:rsidRPr="00F96DFE">
        <w:rPr>
          <w:rFonts w:cs="Arial"/>
          <w:bCs/>
          <w:kern w:val="36"/>
          <w:sz w:val="16"/>
          <w:szCs w:val="16"/>
        </w:rPr>
        <w:t xml:space="preserve">If you wish to reuse this information visit </w:t>
      </w:r>
      <w:hyperlink r:id="rId15" w:tooltip="blocked::blocked::BLOCKED::http://www.hse.gov.uk/copyright&#10;blocked::BLOCKED::http://www.hse.gov.uk/copyright&#10;http://www.hse.gov.uk/copyright" w:history="1"/>
      <w:hyperlink r:id="rId16" w:tooltip="http://www.onr.org.uk/copyright" w:history="1">
        <w:r w:rsidRPr="00F96DFE">
          <w:rPr>
            <w:rStyle w:val="Hyperlink"/>
            <w:rFonts w:cs="Arial"/>
            <w:bCs/>
            <w:kern w:val="36"/>
            <w:sz w:val="16"/>
            <w:szCs w:val="16"/>
          </w:rPr>
          <w:t>www.onr.org.uk/copyright</w:t>
        </w:r>
      </w:hyperlink>
      <w:r w:rsidRPr="00F96DFE">
        <w:rPr>
          <w:rFonts w:cs="Arial"/>
          <w:bCs/>
          <w:kern w:val="36"/>
          <w:sz w:val="16"/>
          <w:szCs w:val="16"/>
        </w:rPr>
        <w:t xml:space="preserve"> for details. </w:t>
      </w:r>
    </w:p>
    <w:p w14:paraId="6E120E41" w14:textId="77777777" w:rsidR="00F96DFE" w:rsidRPr="00F96DFE" w:rsidRDefault="00F96DFE" w:rsidP="00F96DFE">
      <w:pPr>
        <w:outlineLvl w:val="1"/>
        <w:rPr>
          <w:bCs/>
          <w:kern w:val="36"/>
          <w:sz w:val="16"/>
          <w:szCs w:val="16"/>
        </w:rPr>
      </w:pPr>
      <w:r w:rsidRPr="00F96DFE">
        <w:rPr>
          <w:rFonts w:cs="Arial"/>
          <w:bCs/>
          <w:kern w:val="36"/>
          <w:sz w:val="16"/>
          <w:szCs w:val="16"/>
        </w:rPr>
        <w:t xml:space="preserve">Published </w:t>
      </w:r>
      <w:r w:rsidR="009A4708">
        <w:rPr>
          <w:rFonts w:cs="Arial"/>
          <w:bCs/>
          <w:kern w:val="36"/>
          <w:sz w:val="16"/>
          <w:szCs w:val="16"/>
        </w:rPr>
        <w:t>04/19</w:t>
      </w:r>
    </w:p>
    <w:p w14:paraId="6E120E42" w14:textId="77777777" w:rsidR="009B5159" w:rsidRDefault="009B5159" w:rsidP="009B5159"/>
    <w:p w14:paraId="6E120E43" w14:textId="77777777" w:rsidR="009B5159" w:rsidRDefault="009B5159" w:rsidP="009B5159"/>
    <w:p w14:paraId="6E120E44" w14:textId="77777777" w:rsidR="005E13C2" w:rsidRDefault="009B5159" w:rsidP="00884B1B">
      <w:pPr>
        <w:pStyle w:val="TSHeadingNumbered1"/>
      </w:pPr>
      <w:bookmarkStart w:id="0" w:name="_Toc5280390"/>
      <w:r>
        <w:t>INTRODUCTION</w:t>
      </w:r>
      <w:bookmarkEnd w:id="0"/>
    </w:p>
    <w:p w14:paraId="6E120E45" w14:textId="77777777" w:rsidR="00FB2318" w:rsidRPr="00506AC3" w:rsidRDefault="00FB2318" w:rsidP="004C7D09">
      <w:pPr>
        <w:pStyle w:val="TSNumberedParagraph11"/>
        <w:rPr>
          <w:lang w:val="en"/>
        </w:rPr>
      </w:pPr>
      <w:r>
        <w:t>ONR has established its Safety Assessment Principles (SAPs) which apply to the assessment by ONR specialist inspectors of safety cases for nuclear facilities that may be operated by potential licensees, existing licensees, or other duty-holders. The principles presented in the SAPs are supported by a suite of guides to further assist ONR’s inspectors in their technical assessment work in support of making regulatory judgements and decisions. This technical assessment guide is one of these guides.</w:t>
      </w:r>
    </w:p>
    <w:p w14:paraId="6E120E46" w14:textId="77777777" w:rsidR="00FB2318" w:rsidRDefault="00FB2318" w:rsidP="00884B1B">
      <w:pPr>
        <w:pStyle w:val="TSHeadingNumbered1"/>
        <w:rPr>
          <w:lang w:val="en"/>
        </w:rPr>
      </w:pPr>
      <w:bookmarkStart w:id="1" w:name="_Toc353875196"/>
      <w:bookmarkStart w:id="2" w:name="_Toc5280391"/>
      <w:r w:rsidRPr="005B5956">
        <w:rPr>
          <w:lang w:val="en"/>
        </w:rPr>
        <w:t>Purpose and scope</w:t>
      </w:r>
      <w:bookmarkEnd w:id="1"/>
      <w:bookmarkEnd w:id="2"/>
    </w:p>
    <w:p w14:paraId="6E120E47" w14:textId="7129313D" w:rsidR="00FB2318" w:rsidRDefault="00FB2318" w:rsidP="004C7D09">
      <w:pPr>
        <w:pStyle w:val="TSNumberedParagraph11"/>
      </w:pPr>
      <w:r w:rsidRPr="00C27CCB">
        <w:t xml:space="preserve">This Guide gives guidance to </w:t>
      </w:r>
      <w:r>
        <w:t>ONR</w:t>
      </w:r>
      <w:r w:rsidRPr="00C27CCB">
        <w:t xml:space="preserve"> inspectors on </w:t>
      </w:r>
      <w:r>
        <w:t>ONR</w:t>
      </w:r>
      <w:r w:rsidRPr="00C27CCB">
        <w:t xml:space="preserve">’s use of its eight fundamental safety assessment principles, in the assessment of licensees’ safety cases, as set out in </w:t>
      </w:r>
      <w:r w:rsidRPr="008B5B85">
        <w:t>ONR Safety assessment Principles for Nuclear facilities (SAPs)</w:t>
      </w:r>
      <w:r w:rsidRPr="00C27CCB">
        <w:t xml:space="preserve"> FP.1-FP.8 </w:t>
      </w:r>
      <w:hyperlink w:anchor="ref1" w:history="1">
        <w:r w:rsidRPr="00285E4E">
          <w:rPr>
            <w:rStyle w:val="Hyperlink"/>
            <w:vertAlign w:val="superscript"/>
          </w:rPr>
          <w:t>[1]</w:t>
        </w:r>
      </w:hyperlink>
      <w:r w:rsidR="00626183">
        <w:t xml:space="preserve">. </w:t>
      </w:r>
      <w:r w:rsidRPr="00C27CCB">
        <w:t xml:space="preserve">These are high-level principles, and the demonstration that they have been met can be shown by meeting the more detailed SAPs. This Guide does not itself aim to summarise or reproduce material in the Guides relating to the more detailed SAPs, but it indicates the broad intentions of the fundamental principles and some background considerations. Assessors should also take account of the general guidance in the Introduction to SAPs. </w:t>
      </w:r>
    </w:p>
    <w:p w14:paraId="6E120E48" w14:textId="77777777" w:rsidR="00FB2318" w:rsidRDefault="00FB2318" w:rsidP="004C7D09">
      <w:pPr>
        <w:pStyle w:val="TSNumberedParagraph11"/>
        <w:rPr>
          <w:lang w:val="en"/>
        </w:rPr>
      </w:pPr>
      <w:r w:rsidRPr="00C27CCB">
        <w:t xml:space="preserve">As with all guidance, inspectors should use their discretion in the depth and scope to which they apply this guidance in the exercise of their professional judgement in </w:t>
      </w:r>
      <w:r w:rsidR="00626183">
        <w:t>reaching regulatory decisions.</w:t>
      </w:r>
    </w:p>
    <w:p w14:paraId="6E120E49" w14:textId="77777777" w:rsidR="00FB2318" w:rsidRDefault="00FB2318" w:rsidP="00884B1B">
      <w:pPr>
        <w:pStyle w:val="TSHeadingNumbered1"/>
        <w:rPr>
          <w:lang w:val="en"/>
        </w:rPr>
      </w:pPr>
      <w:bookmarkStart w:id="3" w:name="_Toc333926905"/>
      <w:bookmarkStart w:id="4" w:name="_Toc353875197"/>
      <w:bookmarkStart w:id="5" w:name="_Toc5280392"/>
      <w:r w:rsidRPr="005B5956">
        <w:rPr>
          <w:lang w:val="en"/>
        </w:rPr>
        <w:t>Relation to licence and other relevant legislation</w:t>
      </w:r>
      <w:bookmarkEnd w:id="3"/>
      <w:bookmarkEnd w:id="4"/>
      <w:bookmarkEnd w:id="5"/>
    </w:p>
    <w:p w14:paraId="6E120E4A" w14:textId="77777777" w:rsidR="00FB2318" w:rsidRPr="00892D28" w:rsidRDefault="00FB2318" w:rsidP="004C7D09">
      <w:pPr>
        <w:pStyle w:val="TSNumberedParagraph11"/>
        <w:rPr>
          <w:b/>
        </w:rPr>
      </w:pPr>
      <w:r w:rsidRPr="00892D28">
        <w:rPr>
          <w:b/>
        </w:rPr>
        <w:t>Site licence conditions</w:t>
      </w:r>
    </w:p>
    <w:p w14:paraId="6E120E4B" w14:textId="77777777" w:rsidR="00FB2318" w:rsidRDefault="003F1B24" w:rsidP="00FB2318">
      <w:pPr>
        <w:ind w:left="709"/>
      </w:pPr>
      <w:r>
        <w:t>As t</w:t>
      </w:r>
      <w:r w:rsidR="00FB2318" w:rsidRPr="00C27CCB">
        <w:t xml:space="preserve">he Fundamental Principles </w:t>
      </w:r>
      <w:r>
        <w:t xml:space="preserve">are </w:t>
      </w:r>
      <w:r w:rsidR="00FB2318" w:rsidRPr="00C27CCB">
        <w:t>overarch</w:t>
      </w:r>
      <w:r>
        <w:t xml:space="preserve">ing principles to be applied throughout </w:t>
      </w:r>
      <w:r w:rsidR="00FB2318" w:rsidRPr="00C27CCB">
        <w:t xml:space="preserve">the SAPs then the 36 conditions attached </w:t>
      </w:r>
      <w:r>
        <w:t xml:space="preserve">to </w:t>
      </w:r>
      <w:r w:rsidR="00FB2318" w:rsidRPr="00C27CCB">
        <w:t xml:space="preserve">the standard site licence will be relevant. However, </w:t>
      </w:r>
      <w:r w:rsidR="00AB4C27" w:rsidRPr="00C27CCB">
        <w:t>s</w:t>
      </w:r>
      <w:r w:rsidR="00AB4C27">
        <w:t>even</w:t>
      </w:r>
      <w:r w:rsidR="00AB4C27" w:rsidRPr="00C27CCB">
        <w:t xml:space="preserve"> </w:t>
      </w:r>
      <w:r w:rsidR="00FB2318" w:rsidRPr="00C27CCB">
        <w:t>are of particular relevance to the SAPs covered in this guide.</w:t>
      </w:r>
    </w:p>
    <w:p w14:paraId="6E120E4C" w14:textId="77777777" w:rsidR="00FB2318" w:rsidRDefault="00FB2318" w:rsidP="00FB2318">
      <w:pPr>
        <w:ind w:left="709"/>
      </w:pPr>
      <w:r w:rsidRPr="00C27CCB">
        <w:t>These are:</w:t>
      </w:r>
    </w:p>
    <w:p w14:paraId="6E120E4D" w14:textId="77777777" w:rsidR="00FB2318" w:rsidRDefault="00FB2318" w:rsidP="00892D28">
      <w:pPr>
        <w:numPr>
          <w:ilvl w:val="0"/>
          <w:numId w:val="20"/>
        </w:numPr>
      </w:pPr>
      <w:r w:rsidRPr="00C27CCB">
        <w:t xml:space="preserve">LC 10 (Training), </w:t>
      </w:r>
    </w:p>
    <w:p w14:paraId="6E120E4E" w14:textId="77777777" w:rsidR="00FB2318" w:rsidRDefault="00FB2318" w:rsidP="00892D28">
      <w:pPr>
        <w:numPr>
          <w:ilvl w:val="0"/>
          <w:numId w:val="20"/>
        </w:numPr>
      </w:pPr>
      <w:r w:rsidRPr="00C27CCB">
        <w:t>LC 11 (Emergency Arrangements)</w:t>
      </w:r>
      <w:r w:rsidR="009207A4">
        <w:t>,</w:t>
      </w:r>
      <w:r w:rsidRPr="00C27CCB">
        <w:t xml:space="preserve"> </w:t>
      </w:r>
    </w:p>
    <w:p w14:paraId="6E120E4F" w14:textId="77777777" w:rsidR="00FB2318" w:rsidRDefault="00FB2318" w:rsidP="00892D28">
      <w:pPr>
        <w:numPr>
          <w:ilvl w:val="0"/>
          <w:numId w:val="20"/>
        </w:numPr>
      </w:pPr>
      <w:r w:rsidRPr="00C27CCB">
        <w:t>LC 12 (Duly Authorised and other Suitably Qualified and Experienced Persons),</w:t>
      </w:r>
    </w:p>
    <w:p w14:paraId="6E120E50" w14:textId="77777777" w:rsidR="00FB2318" w:rsidRDefault="00FB2318" w:rsidP="00892D28">
      <w:pPr>
        <w:numPr>
          <w:ilvl w:val="0"/>
          <w:numId w:val="20"/>
        </w:numPr>
      </w:pPr>
      <w:r w:rsidRPr="00C27CCB">
        <w:t xml:space="preserve">LC 14 (Safety Documentation), </w:t>
      </w:r>
    </w:p>
    <w:p w14:paraId="6E120E51" w14:textId="77777777" w:rsidR="00AB4C27" w:rsidRDefault="00AB4C27" w:rsidP="00892D28">
      <w:pPr>
        <w:numPr>
          <w:ilvl w:val="0"/>
          <w:numId w:val="20"/>
        </w:numPr>
      </w:pPr>
      <w:r>
        <w:t>LC 23 (Operating rules),</w:t>
      </w:r>
    </w:p>
    <w:p w14:paraId="6E120E52" w14:textId="77777777" w:rsidR="00FB2318" w:rsidRDefault="00FB2318" w:rsidP="00892D28">
      <w:pPr>
        <w:numPr>
          <w:ilvl w:val="0"/>
          <w:numId w:val="20"/>
        </w:numPr>
      </w:pPr>
      <w:r w:rsidRPr="00C27CCB">
        <w:t xml:space="preserve">LC 26 (Control and supervision of Operations), </w:t>
      </w:r>
    </w:p>
    <w:p w14:paraId="6E120E53" w14:textId="77777777" w:rsidR="00FB2318" w:rsidRDefault="00FB2318" w:rsidP="00892D28">
      <w:pPr>
        <w:numPr>
          <w:ilvl w:val="0"/>
          <w:numId w:val="20"/>
        </w:numPr>
        <w:spacing w:after="240"/>
      </w:pPr>
      <w:r w:rsidRPr="00C27CCB">
        <w:t>LC 36 (Con</w:t>
      </w:r>
      <w:r w:rsidR="009207A4">
        <w:t>trol and Organizational Change).</w:t>
      </w:r>
      <w:r w:rsidRPr="00C27CCB">
        <w:t xml:space="preserve"> </w:t>
      </w:r>
    </w:p>
    <w:p w14:paraId="6E120E54" w14:textId="77777777" w:rsidR="00C6168D" w:rsidRDefault="00C6168D" w:rsidP="00A426AD">
      <w:pPr>
        <w:pStyle w:val="TSNumberedParagraph11"/>
      </w:pPr>
      <w:r w:rsidRPr="00892D28">
        <w:rPr>
          <w:b/>
        </w:rPr>
        <w:t xml:space="preserve">The Health and Safety at Work etc. Act 1974 </w:t>
      </w:r>
      <w:r w:rsidR="009207A4">
        <w:rPr>
          <w:b/>
        </w:rPr>
        <w:t>(</w:t>
      </w:r>
      <w:r w:rsidRPr="00892D28">
        <w:rPr>
          <w:b/>
        </w:rPr>
        <w:t>HSWA</w:t>
      </w:r>
      <w:r w:rsidR="009207A4">
        <w:rPr>
          <w:b/>
        </w:rPr>
        <w:t>)</w:t>
      </w:r>
    </w:p>
    <w:p w14:paraId="6E120E55" w14:textId="77777777" w:rsidR="00FB2318" w:rsidRDefault="00FB2318" w:rsidP="00892D28">
      <w:pPr>
        <w:pStyle w:val="TSNumberedParagraph11"/>
        <w:numPr>
          <w:ilvl w:val="0"/>
          <w:numId w:val="0"/>
        </w:numPr>
        <w:ind w:left="720"/>
      </w:pPr>
      <w:r w:rsidRPr="00C27CCB">
        <w:t>The Health an</w:t>
      </w:r>
      <w:r w:rsidR="009207A4">
        <w:t>d Safety at Work etc. Act 1974 (HSWA)</w:t>
      </w:r>
      <w:r w:rsidRPr="00C27CCB">
        <w:t xml:space="preserve"> </w:t>
      </w:r>
      <w:hyperlink w:anchor="ref2" w:history="1">
        <w:r w:rsidRPr="00285E4E">
          <w:rPr>
            <w:rStyle w:val="Hyperlink"/>
            <w:vertAlign w:val="superscript"/>
          </w:rPr>
          <w:t>[2]</w:t>
        </w:r>
      </w:hyperlink>
      <w:r w:rsidRPr="00C27CCB">
        <w:t xml:space="preserve"> </w:t>
      </w:r>
      <w:r w:rsidR="00331FCF">
        <w:t xml:space="preserve">sets out fundamental </w:t>
      </w:r>
      <w:r w:rsidRPr="00C27CCB">
        <w:t>legal requirement</w:t>
      </w:r>
      <w:r w:rsidR="003F1B24">
        <w:t>s</w:t>
      </w:r>
      <w:r w:rsidRPr="00C27CCB">
        <w:t xml:space="preserve"> concerning health and safety related to work activities</w:t>
      </w:r>
      <w:r w:rsidR="00726E44">
        <w:t xml:space="preserve"> in the UK</w:t>
      </w:r>
      <w:r w:rsidRPr="00C27CCB">
        <w:t>. HSWA places duties on employers to ensure the health, safety and welfare of their employees (Section 2) and to conduct their operations so that persons not in their employment are not exposed to risks to their health and safety (Section 3). The employer is required to ensure that these duties are met "so far as is reasonably practicable". This principle, abbreviated to SFAIRP, is therefore the basic legal requirement</w:t>
      </w:r>
      <w:r w:rsidR="00331FCF">
        <w:t xml:space="preserve"> with</w:t>
      </w:r>
      <w:r w:rsidRPr="00C27CCB">
        <w:t xml:space="preserve"> which employer</w:t>
      </w:r>
      <w:r w:rsidR="00331FCF">
        <w:t>s</w:t>
      </w:r>
      <w:r w:rsidRPr="00C27CCB">
        <w:t xml:space="preserve"> </w:t>
      </w:r>
      <w:r w:rsidR="00331FCF">
        <w:t>must comply</w:t>
      </w:r>
      <w:r w:rsidRPr="00C27CCB">
        <w:t>.</w:t>
      </w:r>
      <w:r>
        <w:t xml:space="preserve"> </w:t>
      </w:r>
      <w:r w:rsidRPr="00C27CCB">
        <w:t xml:space="preserve">ALARP </w:t>
      </w:r>
      <w:r>
        <w:t xml:space="preserve">(As Low As Reasonably Practicable) </w:t>
      </w:r>
      <w:r w:rsidRPr="00C27CCB">
        <w:t xml:space="preserve">and SFAIRP require the </w:t>
      </w:r>
      <w:r w:rsidRPr="00C27CCB">
        <w:lastRenderedPageBreak/>
        <w:t>same tests to be applied and are effectively the same thing, though the terms are not interchangeable in legal proceedings which must employ the wording in the legislation.</w:t>
      </w:r>
      <w:r w:rsidR="00950330" w:rsidRPr="00950330">
        <w:t xml:space="preserve"> </w:t>
      </w:r>
    </w:p>
    <w:p w14:paraId="6E120E56" w14:textId="77777777" w:rsidR="00626183" w:rsidRDefault="00626183" w:rsidP="00892D28">
      <w:pPr>
        <w:pStyle w:val="TSNumberedParagraph11"/>
        <w:numPr>
          <w:ilvl w:val="0"/>
          <w:numId w:val="0"/>
        </w:numPr>
        <w:ind w:left="720"/>
      </w:pPr>
    </w:p>
    <w:p w14:paraId="6E120E57" w14:textId="77777777" w:rsidR="00FB2318" w:rsidRPr="00892D28" w:rsidRDefault="00FB2318" w:rsidP="004C7D09">
      <w:pPr>
        <w:pStyle w:val="TSNumberedParagraph11"/>
        <w:rPr>
          <w:b/>
        </w:rPr>
      </w:pPr>
      <w:r w:rsidRPr="00892D28">
        <w:rPr>
          <w:b/>
        </w:rPr>
        <w:t xml:space="preserve">Ionising Radiations Regulations </w:t>
      </w:r>
      <w:r w:rsidR="006F317D">
        <w:rPr>
          <w:b/>
        </w:rPr>
        <w:t>2017</w:t>
      </w:r>
      <w:r w:rsidRPr="00892D28">
        <w:rPr>
          <w:b/>
        </w:rPr>
        <w:t xml:space="preserve"> and Approved Code of Practice (</w:t>
      </w:r>
      <w:proofErr w:type="spellStart"/>
      <w:r w:rsidRPr="00892D28">
        <w:rPr>
          <w:b/>
        </w:rPr>
        <w:t>ACoP</w:t>
      </w:r>
      <w:proofErr w:type="spellEnd"/>
      <w:r w:rsidRPr="00892D28">
        <w:rPr>
          <w:b/>
        </w:rPr>
        <w:t>)</w:t>
      </w:r>
    </w:p>
    <w:p w14:paraId="6E120E58" w14:textId="77777777" w:rsidR="00FB2318" w:rsidRDefault="00FB2318" w:rsidP="00FB2318">
      <w:pPr>
        <w:ind w:left="709"/>
      </w:pPr>
      <w:r w:rsidRPr="00C27CCB">
        <w:t xml:space="preserve">The Ionising Radiations Regulations </w:t>
      </w:r>
      <w:r w:rsidR="006F317D">
        <w:t>2017</w:t>
      </w:r>
      <w:r w:rsidRPr="00C27CCB">
        <w:t xml:space="preserve"> </w:t>
      </w:r>
      <w:hyperlink w:anchor="ref3" w:history="1">
        <w:r w:rsidRPr="00285E4E">
          <w:rPr>
            <w:rStyle w:val="Hyperlink"/>
            <w:vertAlign w:val="superscript"/>
          </w:rPr>
          <w:t>[</w:t>
        </w:r>
        <w:r w:rsidR="00470182">
          <w:rPr>
            <w:rStyle w:val="Hyperlink"/>
            <w:vertAlign w:val="superscript"/>
          </w:rPr>
          <w:t>3</w:t>
        </w:r>
        <w:r w:rsidRPr="00285E4E">
          <w:rPr>
            <w:rStyle w:val="Hyperlink"/>
            <w:vertAlign w:val="superscript"/>
          </w:rPr>
          <w:t>]</w:t>
        </w:r>
      </w:hyperlink>
      <w:r w:rsidRPr="00C27CCB">
        <w:t xml:space="preserve"> </w:t>
      </w:r>
      <w:r>
        <w:t>(IRR</w:t>
      </w:r>
      <w:r w:rsidR="006F317D">
        <w:t>17</w:t>
      </w:r>
      <w:r>
        <w:t xml:space="preserve">) </w:t>
      </w:r>
      <w:r w:rsidR="00331FCF">
        <w:t xml:space="preserve">specify </w:t>
      </w:r>
      <w:r w:rsidRPr="00C27CCB">
        <w:t>the statutory requirements for the protection of pers</w:t>
      </w:r>
      <w:r>
        <w:t>ons against ionising radiation</w:t>
      </w:r>
      <w:r w:rsidR="00331FCF">
        <w:t xml:space="preserve"> and are supported by an </w:t>
      </w:r>
      <w:proofErr w:type="spellStart"/>
      <w:r w:rsidR="00331FCF" w:rsidRPr="00C27CCB">
        <w:t>ACoP</w:t>
      </w:r>
      <w:proofErr w:type="spellEnd"/>
      <w:r w:rsidR="00331FCF" w:rsidRPr="00C27CCB">
        <w:t xml:space="preserve"> and guidance </w:t>
      </w:r>
      <w:hyperlink w:anchor="ref4" w:history="1">
        <w:r w:rsidR="00331FCF" w:rsidRPr="00285E4E">
          <w:rPr>
            <w:rStyle w:val="Hyperlink"/>
            <w:vertAlign w:val="superscript"/>
          </w:rPr>
          <w:t>[</w:t>
        </w:r>
        <w:r w:rsidR="00331FCF">
          <w:rPr>
            <w:rStyle w:val="Hyperlink"/>
            <w:vertAlign w:val="superscript"/>
          </w:rPr>
          <w:t>4</w:t>
        </w:r>
        <w:r w:rsidR="00331FCF" w:rsidRPr="00285E4E">
          <w:rPr>
            <w:rStyle w:val="Hyperlink"/>
            <w:vertAlign w:val="superscript"/>
          </w:rPr>
          <w:t>]</w:t>
        </w:r>
      </w:hyperlink>
      <w:r>
        <w:t xml:space="preserve">. </w:t>
      </w:r>
      <w:r w:rsidRPr="00C27CCB">
        <w:t>A facility must be designed, operated and decommissioned in complian</w:t>
      </w:r>
      <w:r>
        <w:t xml:space="preserve">ce with these legal provisions. </w:t>
      </w:r>
      <w:r w:rsidRPr="00C27CCB">
        <w:t xml:space="preserve">Aspects of particular relevance to the Fundamental Principles are highlighted in the following </w:t>
      </w:r>
      <w:r w:rsidR="00C6168D">
        <w:t xml:space="preserve">regulations and associated </w:t>
      </w:r>
      <w:proofErr w:type="spellStart"/>
      <w:r w:rsidR="00C6168D">
        <w:t>ACoP</w:t>
      </w:r>
      <w:proofErr w:type="spellEnd"/>
      <w:r w:rsidR="00C6168D">
        <w:t xml:space="preserve"> &amp; Guidance in L121</w:t>
      </w:r>
      <w:r w:rsidRPr="00C27CCB">
        <w:t xml:space="preserve">. </w:t>
      </w:r>
    </w:p>
    <w:p w14:paraId="6E120E59" w14:textId="77777777" w:rsidR="004C7D09" w:rsidRDefault="004C7D09" w:rsidP="00FB2318">
      <w:pPr>
        <w:ind w:left="709"/>
      </w:pPr>
    </w:p>
    <w:p w14:paraId="6E120E5A" w14:textId="77777777" w:rsidR="00FB2318" w:rsidRDefault="00FB2318" w:rsidP="00892D28">
      <w:pPr>
        <w:numPr>
          <w:ilvl w:val="0"/>
          <w:numId w:val="23"/>
        </w:numPr>
      </w:pPr>
      <w:r w:rsidRPr="00C27CCB">
        <w:t xml:space="preserve">Reg </w:t>
      </w:r>
      <w:r w:rsidR="006F317D">
        <w:t>8</w:t>
      </w:r>
      <w:r w:rsidRPr="00C27CCB">
        <w:t xml:space="preserve"> – </w:t>
      </w:r>
      <w:r w:rsidR="006F317D">
        <w:rPr>
          <w:b/>
        </w:rPr>
        <w:t>Radiation</w:t>
      </w:r>
      <w:r w:rsidRPr="0026587A">
        <w:rPr>
          <w:b/>
        </w:rPr>
        <w:t xml:space="preserve"> risk assessment</w:t>
      </w:r>
      <w:r w:rsidR="006F317D">
        <w:rPr>
          <w:b/>
        </w:rPr>
        <w:t>s</w:t>
      </w:r>
      <w:r w:rsidRPr="00C27CCB">
        <w:t xml:space="preserve"> – before work is undertaken every employer must carry out a risk assessment to identify the hazards and evaluate the risks </w:t>
      </w:r>
      <w:r>
        <w:t xml:space="preserve">to the workforce and to others. </w:t>
      </w:r>
      <w:r w:rsidRPr="00C27CCB">
        <w:t xml:space="preserve">It should be noted that regulation 3 of the </w:t>
      </w:r>
      <w:hyperlink r:id="rId17" w:history="1">
        <w:r w:rsidRPr="00C27CCB">
          <w:rPr>
            <w:rStyle w:val="Hyperlink"/>
          </w:rPr>
          <w:t xml:space="preserve">Management of Health and Safety at Work Regulations 1999 </w:t>
        </w:r>
        <w:r w:rsidR="00A70691">
          <w:rPr>
            <w:noProof/>
            <w:color w:val="0000FF"/>
            <w:u w:val="single"/>
            <w:lang w:eastAsia="en-GB"/>
          </w:rPr>
          <w:drawing>
            <wp:inline distT="0" distB="0" distL="0" distR="0" wp14:anchorId="6E120EA7" wp14:editId="6E120EA8">
              <wp:extent cx="121920" cy="83820"/>
              <wp:effectExtent l="0" t="0" r="0" b="0"/>
              <wp:docPr id="20" name="Picture 20" descr="link to extern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k to external websi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 cy="83820"/>
                      </a:xfrm>
                      <a:prstGeom prst="rect">
                        <a:avLst/>
                      </a:prstGeom>
                      <a:noFill/>
                      <a:ln>
                        <a:noFill/>
                      </a:ln>
                    </pic:spPr>
                  </pic:pic>
                </a:graphicData>
              </a:graphic>
            </wp:inline>
          </w:drawing>
        </w:r>
      </w:hyperlink>
      <w:r w:rsidRPr="00C27CCB">
        <w:t xml:space="preserve">(MHSWR) </w:t>
      </w:r>
      <w:hyperlink w:anchor="ref5" w:history="1">
        <w:r w:rsidRPr="00285E4E">
          <w:rPr>
            <w:rStyle w:val="Hyperlink"/>
            <w:vertAlign w:val="superscript"/>
          </w:rPr>
          <w:t>[</w:t>
        </w:r>
        <w:r w:rsidR="002364EB">
          <w:rPr>
            <w:rStyle w:val="Hyperlink"/>
            <w:vertAlign w:val="superscript"/>
          </w:rPr>
          <w:t>5</w:t>
        </w:r>
        <w:r w:rsidRPr="00285E4E">
          <w:rPr>
            <w:rStyle w:val="Hyperlink"/>
            <w:vertAlign w:val="superscript"/>
          </w:rPr>
          <w:t>]</w:t>
        </w:r>
      </w:hyperlink>
      <w:r w:rsidRPr="00C27CCB">
        <w:t xml:space="preserve"> requires the risk assessment to be reviewed and kept up</w:t>
      </w:r>
      <w:r w:rsidR="009C6EAA">
        <w:t>-</w:t>
      </w:r>
      <w:r w:rsidRPr="00C27CCB">
        <w:t>to</w:t>
      </w:r>
      <w:r w:rsidR="009C6EAA">
        <w:t>-</w:t>
      </w:r>
      <w:r w:rsidRPr="00C27CCB">
        <w:t>date.</w:t>
      </w:r>
    </w:p>
    <w:p w14:paraId="6E120E5B" w14:textId="77777777" w:rsidR="004C7D09" w:rsidRDefault="004C7D09" w:rsidP="00892D28"/>
    <w:p w14:paraId="6E120E5C" w14:textId="77777777" w:rsidR="00FB2318" w:rsidRDefault="00FB2318" w:rsidP="00892D28">
      <w:pPr>
        <w:numPr>
          <w:ilvl w:val="0"/>
          <w:numId w:val="23"/>
        </w:numPr>
      </w:pPr>
      <w:r w:rsidRPr="00C27CCB">
        <w:t xml:space="preserve">Reg. </w:t>
      </w:r>
      <w:r w:rsidR="006F317D">
        <w:t>9</w:t>
      </w:r>
      <w:r w:rsidRPr="00C27CCB">
        <w:t xml:space="preserve"> - </w:t>
      </w:r>
      <w:r w:rsidRPr="0026587A">
        <w:rPr>
          <w:b/>
        </w:rPr>
        <w:t>Restriction of exposure</w:t>
      </w:r>
      <w:r w:rsidRPr="00C27CCB">
        <w:t xml:space="preserve"> – this requires every employer, in relation to any work with ionising radiation that he undertakes, to take all necessary steps to restrict so far as is reasonably practicable the extent to which his employees and other persons are</w:t>
      </w:r>
      <w:r>
        <w:t xml:space="preserve"> exposed to ionising radiation. </w:t>
      </w:r>
      <w:r w:rsidRPr="00C27CCB">
        <w:t xml:space="preserve">The means of achieving this is the primary objective of the safety submission on radiological protection and all SAPs are relevant </w:t>
      </w:r>
      <w:r w:rsidR="009C6EAA">
        <w:t xml:space="preserve">to </w:t>
      </w:r>
      <w:r w:rsidRPr="00C27CCB">
        <w:t>judging the extent to which exposures are restricted</w:t>
      </w:r>
      <w:r w:rsidR="009C6EAA">
        <w:t xml:space="preserve"> by the licensee</w:t>
      </w:r>
      <w:r w:rsidRPr="00C27CCB">
        <w:t>.</w:t>
      </w:r>
    </w:p>
    <w:p w14:paraId="6E120E5D" w14:textId="77777777" w:rsidR="004C7D09" w:rsidRDefault="004C7D09" w:rsidP="00892D28"/>
    <w:p w14:paraId="6E120E5E" w14:textId="77777777" w:rsidR="00FB2318" w:rsidRDefault="00FB2318" w:rsidP="00892D28">
      <w:pPr>
        <w:numPr>
          <w:ilvl w:val="0"/>
          <w:numId w:val="23"/>
        </w:numPr>
      </w:pPr>
      <w:r>
        <w:t xml:space="preserve"> </w:t>
      </w:r>
      <w:r w:rsidRPr="00C27CCB">
        <w:t>Reg. 1</w:t>
      </w:r>
      <w:r w:rsidR="006F317D">
        <w:t>3</w:t>
      </w:r>
      <w:r w:rsidRPr="00C27CCB">
        <w:t xml:space="preserve"> – </w:t>
      </w:r>
      <w:r w:rsidRPr="0026587A">
        <w:rPr>
          <w:b/>
        </w:rPr>
        <w:t>Contingency Plans</w:t>
      </w:r>
      <w:r w:rsidRPr="00C27CCB">
        <w:t xml:space="preserve"> – this requires the employer, where an assessment made in accordance with regulation </w:t>
      </w:r>
      <w:r w:rsidR="006F317D">
        <w:t>8</w:t>
      </w:r>
      <w:r w:rsidRPr="00C27CCB">
        <w:t xml:space="preserve"> shows that a radiation accident is reasonably foreseeable, to prepare a contingency plan designed to secure, so far as is reasonably practicable, the restriction of exposure to ionising radiation and the health and safety of persons who may be affected by such accident.</w:t>
      </w:r>
    </w:p>
    <w:p w14:paraId="6E120E5F" w14:textId="77777777" w:rsidR="004C7D09" w:rsidRDefault="004C7D09" w:rsidP="00FB2318">
      <w:pPr>
        <w:ind w:left="709"/>
      </w:pPr>
    </w:p>
    <w:p w14:paraId="6E120E60" w14:textId="77777777" w:rsidR="00FB2318" w:rsidRDefault="00FB2318" w:rsidP="004C7D09">
      <w:pPr>
        <w:pStyle w:val="TSNumberedParagraph11"/>
      </w:pPr>
      <w:r w:rsidRPr="00892D28">
        <w:rPr>
          <w:b/>
        </w:rPr>
        <w:t>Radiation (Emergency Preparedness and Public Information) Regulations 2001 (REPPIR) and its Guide</w:t>
      </w:r>
      <w:r w:rsidRPr="00C27CCB">
        <w:t xml:space="preserve"> </w:t>
      </w:r>
      <w:hyperlink w:anchor="ref6" w:history="1">
        <w:r w:rsidRPr="00285E4E">
          <w:rPr>
            <w:rStyle w:val="Hyperlink"/>
            <w:vertAlign w:val="superscript"/>
          </w:rPr>
          <w:t>[</w:t>
        </w:r>
        <w:r w:rsidR="002364EB">
          <w:rPr>
            <w:rStyle w:val="Hyperlink"/>
            <w:vertAlign w:val="superscript"/>
          </w:rPr>
          <w:t>6</w:t>
        </w:r>
        <w:r w:rsidRPr="00285E4E">
          <w:rPr>
            <w:rStyle w:val="Hyperlink"/>
            <w:vertAlign w:val="superscript"/>
          </w:rPr>
          <w:t>]</w:t>
        </w:r>
      </w:hyperlink>
      <w:r w:rsidRPr="00C27CCB">
        <w:t>.</w:t>
      </w:r>
    </w:p>
    <w:p w14:paraId="6E120E61" w14:textId="77777777" w:rsidR="00C6168D" w:rsidRDefault="00FB2318" w:rsidP="00892D28">
      <w:pPr>
        <w:ind w:left="794"/>
      </w:pPr>
      <w:r w:rsidRPr="00C27CCB">
        <w:t>REPPIR</w:t>
      </w:r>
      <w:r w:rsidR="0052749F">
        <w:t xml:space="preserve"> 20</w:t>
      </w:r>
      <w:r w:rsidR="003F1B24">
        <w:t>01</w:t>
      </w:r>
      <w:r w:rsidRPr="00C27CCB">
        <w:t xml:space="preserve">establishes a framework for the protection of the public </w:t>
      </w:r>
      <w:r w:rsidR="00A7544B">
        <w:t xml:space="preserve">by means of </w:t>
      </w:r>
      <w:r w:rsidRPr="00C27CCB">
        <w:t>emergency preparedness for radiation accidents with the potential to affect members of the public</w:t>
      </w:r>
      <w:r w:rsidR="00A7544B">
        <w:t xml:space="preserve"> at </w:t>
      </w:r>
      <w:r w:rsidRPr="00C27CCB">
        <w:t xml:space="preserve">premises and </w:t>
      </w:r>
      <w:r w:rsidR="00A7544B">
        <w:t xml:space="preserve">during </w:t>
      </w:r>
      <w:r w:rsidRPr="00C27CCB">
        <w:t>specified transport operations.</w:t>
      </w:r>
      <w:r>
        <w:t xml:space="preserve"> </w:t>
      </w:r>
      <w:r w:rsidRPr="00C27CCB">
        <w:t xml:space="preserve">It also </w:t>
      </w:r>
      <w:r w:rsidR="00A7544B">
        <w:t xml:space="preserve">specifies requirements for the </w:t>
      </w:r>
      <w:r w:rsidRPr="00C27CCB">
        <w:t>provision of information to the public: in advance in situations where a (REPPIR</w:t>
      </w:r>
      <w:r w:rsidR="003F1B24">
        <w:t xml:space="preserve"> </w:t>
      </w:r>
      <w:r w:rsidR="0052749F">
        <w:t>20</w:t>
      </w:r>
      <w:r w:rsidR="003F1B24">
        <w:t>01</w:t>
      </w:r>
      <w:r w:rsidRPr="00C27CCB">
        <w:t>) radiation emergency might arise; and in the event of any kind of radiation emergency (however it may arise).</w:t>
      </w:r>
    </w:p>
    <w:p w14:paraId="6E120E62" w14:textId="77777777" w:rsidR="003F1B24" w:rsidRDefault="003F1B24" w:rsidP="00892D28">
      <w:pPr>
        <w:ind w:left="794"/>
      </w:pPr>
    </w:p>
    <w:p w14:paraId="6E120E63" w14:textId="77777777" w:rsidR="003F1B24" w:rsidRDefault="003F1B24" w:rsidP="00892D28">
      <w:pPr>
        <w:ind w:left="794"/>
      </w:pPr>
      <w:r>
        <w:t>Note that REPPIR</w:t>
      </w:r>
      <w:r w:rsidR="0052749F">
        <w:t xml:space="preserve"> 20</w:t>
      </w:r>
      <w:r>
        <w:t xml:space="preserve">19 is expected to </w:t>
      </w:r>
      <w:r w:rsidR="0052749F">
        <w:t>come into force during 2019.</w:t>
      </w:r>
    </w:p>
    <w:p w14:paraId="6E120E64" w14:textId="77777777" w:rsidR="004C7D09" w:rsidRDefault="004C7D09" w:rsidP="00FB2318">
      <w:pPr>
        <w:ind w:left="709"/>
      </w:pPr>
    </w:p>
    <w:p w14:paraId="6E120E65" w14:textId="77777777" w:rsidR="00C6168D" w:rsidRDefault="00C6168D" w:rsidP="004C7D09">
      <w:pPr>
        <w:pStyle w:val="TSNumberedParagraph11"/>
      </w:pPr>
      <w:r w:rsidRPr="00892D28">
        <w:rPr>
          <w:b/>
        </w:rPr>
        <w:t>The Energy Act 2013</w:t>
      </w:r>
      <w:r>
        <w:t xml:space="preserve"> </w:t>
      </w:r>
      <w:r w:rsidRPr="00892D28">
        <w:rPr>
          <w:b/>
        </w:rPr>
        <w:t>(</w:t>
      </w:r>
      <w:r w:rsidR="0052749F">
        <w:rPr>
          <w:b/>
        </w:rPr>
        <w:t>T</w:t>
      </w:r>
      <w:r w:rsidRPr="00892D28">
        <w:rPr>
          <w:b/>
        </w:rPr>
        <w:t>EA</w:t>
      </w:r>
      <w:r w:rsidR="009207A4">
        <w:rPr>
          <w:b/>
        </w:rPr>
        <w:t>13</w:t>
      </w:r>
      <w:r w:rsidRPr="00892D28">
        <w:rPr>
          <w:b/>
        </w:rPr>
        <w:t>).</w:t>
      </w:r>
      <w:r w:rsidR="00BB78FC">
        <w:rPr>
          <w:b/>
        </w:rPr>
        <w:t xml:space="preserve"> </w:t>
      </w:r>
      <w:hyperlink w:anchor="ref7" w:history="1">
        <w:r w:rsidR="00BB78FC">
          <w:rPr>
            <w:rStyle w:val="Hyperlink"/>
            <w:vertAlign w:val="superscript"/>
          </w:rPr>
          <w:t>[</w:t>
        </w:r>
        <w:r w:rsidR="002364EB">
          <w:rPr>
            <w:rStyle w:val="Hyperlink"/>
            <w:vertAlign w:val="superscript"/>
          </w:rPr>
          <w:t>7</w:t>
        </w:r>
        <w:r w:rsidR="00BB78FC">
          <w:rPr>
            <w:rStyle w:val="Hyperlink"/>
            <w:vertAlign w:val="superscript"/>
          </w:rPr>
          <w:t>].</w:t>
        </w:r>
      </w:hyperlink>
    </w:p>
    <w:p w14:paraId="6E120E66" w14:textId="77777777" w:rsidR="00C6168D" w:rsidRPr="00892D28" w:rsidRDefault="00C6168D" w:rsidP="00892D28">
      <w:pPr>
        <w:pStyle w:val="TSNumberedParagraph11"/>
        <w:numPr>
          <w:ilvl w:val="0"/>
          <w:numId w:val="0"/>
        </w:numPr>
        <w:ind w:left="720"/>
      </w:pPr>
      <w:r>
        <w:t>The</w:t>
      </w:r>
      <w:r w:rsidRPr="00C6168D">
        <w:t xml:space="preserve"> Energy Act 2013 (</w:t>
      </w:r>
      <w:r w:rsidR="0052749F">
        <w:t>T</w:t>
      </w:r>
      <w:r w:rsidRPr="00C6168D">
        <w:t xml:space="preserve">EA13), </w:t>
      </w:r>
      <w:hyperlink r:id="rId19" w:history="1">
        <w:r w:rsidRPr="00C6168D">
          <w:rPr>
            <w:rStyle w:val="Hyperlink"/>
          </w:rPr>
          <w:t>http://services.parliament.uk/bills/2012-13/energy.html</w:t>
        </w:r>
      </w:hyperlink>
      <w:r w:rsidRPr="00C6168D">
        <w:t xml:space="preserve">, </w:t>
      </w:r>
      <w:r w:rsidR="00493688">
        <w:t xml:space="preserve">which </w:t>
      </w:r>
      <w:r w:rsidR="00493688" w:rsidRPr="00493688">
        <w:t>establish</w:t>
      </w:r>
      <w:r w:rsidR="003232CA">
        <w:t>ed</w:t>
      </w:r>
      <w:r w:rsidR="00493688" w:rsidRPr="00493688">
        <w:t xml:space="preserve"> the Office for Nuclear Regulation</w:t>
      </w:r>
      <w:r w:rsidR="003232CA">
        <w:t xml:space="preserve"> and specified its functions</w:t>
      </w:r>
      <w:r w:rsidR="009207A4">
        <w:t>,</w:t>
      </w:r>
      <w:r w:rsidRPr="00C6168D">
        <w:t xml:space="preserve"> came into force on 1</w:t>
      </w:r>
      <w:r w:rsidRPr="00C6168D">
        <w:rPr>
          <w:vertAlign w:val="superscript"/>
        </w:rPr>
        <w:t>st</w:t>
      </w:r>
      <w:r w:rsidRPr="00C6168D">
        <w:t xml:space="preserve"> April 2014</w:t>
      </w:r>
      <w:r>
        <w:t>.</w:t>
      </w:r>
      <w:r w:rsidR="00493688" w:rsidRPr="00493688">
        <w:t xml:space="preserve"> </w:t>
      </w:r>
      <w:r w:rsidR="00493688">
        <w:t>The</w:t>
      </w:r>
      <w:r w:rsidR="00493688" w:rsidRPr="00493688">
        <w:t xml:space="preserve"> Nuclear Installat</w:t>
      </w:r>
      <w:r w:rsidR="009207A4">
        <w:t>ions Act 1965 (as amended) (NIA)</w:t>
      </w:r>
      <w:r w:rsidR="00493688" w:rsidRPr="00493688">
        <w:t xml:space="preserve"> </w:t>
      </w:r>
      <w:hyperlink w:anchor="ref8" w:history="1">
        <w:r w:rsidR="00493688" w:rsidRPr="00493688">
          <w:rPr>
            <w:rStyle w:val="Hyperlink"/>
            <w:vertAlign w:val="superscript"/>
          </w:rPr>
          <w:t>[</w:t>
        </w:r>
        <w:r w:rsidR="00634EF8">
          <w:rPr>
            <w:rStyle w:val="Hyperlink"/>
            <w:vertAlign w:val="superscript"/>
          </w:rPr>
          <w:t>8</w:t>
        </w:r>
        <w:r w:rsidR="00493688" w:rsidRPr="00493688">
          <w:rPr>
            <w:rStyle w:val="Hyperlink"/>
            <w:vertAlign w:val="superscript"/>
          </w:rPr>
          <w:t>]</w:t>
        </w:r>
      </w:hyperlink>
      <w:r w:rsidR="00493688" w:rsidRPr="00493688">
        <w:t xml:space="preserve"> is a Relevant Statutory Provision (RSP) </w:t>
      </w:r>
      <w:r w:rsidR="003232CA">
        <w:t>under</w:t>
      </w:r>
      <w:r w:rsidR="00493688" w:rsidRPr="00493688">
        <w:t xml:space="preserve"> </w:t>
      </w:r>
      <w:r w:rsidR="0052749F">
        <w:t>T</w:t>
      </w:r>
      <w:r w:rsidR="00493688" w:rsidRPr="00493688">
        <w:t xml:space="preserve">EA13. </w:t>
      </w:r>
    </w:p>
    <w:p w14:paraId="6E120E67" w14:textId="77777777" w:rsidR="00FB2318" w:rsidRDefault="00FB2318" w:rsidP="004C7D09">
      <w:pPr>
        <w:pStyle w:val="TSNumberedParagraph11"/>
      </w:pPr>
      <w:r w:rsidRPr="00892D28">
        <w:rPr>
          <w:b/>
        </w:rPr>
        <w:t xml:space="preserve">The Nuclear Installations Act 1965 (as amended) (NIA) </w:t>
      </w:r>
      <w:hyperlink w:anchor="ref8" w:history="1">
        <w:r w:rsidRPr="00285E4E">
          <w:rPr>
            <w:rStyle w:val="Hyperlink"/>
            <w:vertAlign w:val="superscript"/>
          </w:rPr>
          <w:t>[</w:t>
        </w:r>
        <w:r w:rsidR="002364EB">
          <w:rPr>
            <w:rStyle w:val="Hyperlink"/>
            <w:vertAlign w:val="superscript"/>
          </w:rPr>
          <w:t>8</w:t>
        </w:r>
        <w:r w:rsidRPr="00285E4E">
          <w:rPr>
            <w:rStyle w:val="Hyperlink"/>
            <w:vertAlign w:val="superscript"/>
          </w:rPr>
          <w:t>].</w:t>
        </w:r>
      </w:hyperlink>
    </w:p>
    <w:p w14:paraId="6E120E68" w14:textId="77777777" w:rsidR="00FB2318" w:rsidRDefault="00FB2318" w:rsidP="00FB2318">
      <w:pPr>
        <w:spacing w:after="240"/>
        <w:ind w:left="709"/>
      </w:pPr>
      <w:r w:rsidRPr="00C27CCB">
        <w:t xml:space="preserve">The NIA </w:t>
      </w:r>
      <w:r w:rsidR="00A5354F">
        <w:t xml:space="preserve">prohibits the operation of </w:t>
      </w:r>
      <w:r w:rsidRPr="00C27CCB">
        <w:t>certain facilities</w:t>
      </w:r>
      <w:r w:rsidR="00A5354F">
        <w:t xml:space="preserve"> unless such facilities are licensed under the terms of the Act</w:t>
      </w:r>
      <w:r w:rsidRPr="00C27CCB">
        <w:t>.</w:t>
      </w:r>
      <w:r>
        <w:t xml:space="preserve"> </w:t>
      </w:r>
      <w:r w:rsidRPr="00C27CCB">
        <w:t>It allows for the attachment of Licence Conditions that may be necessary or desirable in the interests of safety. The standard Nuclear Site Licence has 36 conditions</w:t>
      </w:r>
      <w:r w:rsidR="00493688">
        <w:t xml:space="preserve">; under </w:t>
      </w:r>
      <w:r w:rsidR="0052749F">
        <w:t>T</w:t>
      </w:r>
      <w:r w:rsidR="00493688">
        <w:t>EA</w:t>
      </w:r>
      <w:r w:rsidR="009207A4">
        <w:t>13</w:t>
      </w:r>
      <w:r w:rsidR="00493688">
        <w:t xml:space="preserve"> these</w:t>
      </w:r>
      <w:r w:rsidR="00493688" w:rsidRPr="00493688">
        <w:t xml:space="preserve"> are now applicable provisions</w:t>
      </w:r>
      <w:r w:rsidR="00493688">
        <w:t>.</w:t>
      </w:r>
      <w:r w:rsidR="00A5354F">
        <w:t xml:space="preserve"> </w:t>
      </w:r>
      <w:r w:rsidR="00C6168D" w:rsidRPr="00C6168D">
        <w:t>The duties in various Lice</w:t>
      </w:r>
      <w:r w:rsidR="00493688">
        <w:t>nce Conditions</w:t>
      </w:r>
      <w:r w:rsidR="00C6168D" w:rsidRPr="00C6168D">
        <w:t xml:space="preserve"> to make and implement adequate arrangements are</w:t>
      </w:r>
      <w:r w:rsidR="00A5354F">
        <w:t xml:space="preserve"> absolute and</w:t>
      </w:r>
      <w:r w:rsidR="00C6168D" w:rsidRPr="00C6168D">
        <w:t xml:space="preserve"> not qualified by SFAIRP.</w:t>
      </w:r>
    </w:p>
    <w:p w14:paraId="6E120E69" w14:textId="77777777" w:rsidR="00626183" w:rsidRPr="00C27CCB" w:rsidRDefault="00626183" w:rsidP="00FB2318">
      <w:pPr>
        <w:spacing w:after="240"/>
        <w:ind w:left="709"/>
      </w:pPr>
    </w:p>
    <w:p w14:paraId="6E120E6A" w14:textId="77777777" w:rsidR="00FB2318" w:rsidRDefault="00FB2318" w:rsidP="00884B1B">
      <w:pPr>
        <w:pStyle w:val="TSHeadingNumbered1"/>
        <w:rPr>
          <w:lang w:val="en"/>
        </w:rPr>
      </w:pPr>
      <w:bookmarkStart w:id="6" w:name="_Toc353875198"/>
      <w:bookmarkStart w:id="7" w:name="_Toc5280393"/>
      <w:bookmarkStart w:id="8" w:name="_Toc333926906"/>
      <w:r w:rsidRPr="005B5956">
        <w:rPr>
          <w:lang w:val="en"/>
        </w:rPr>
        <w:t>Relation to SAPs, WENRA Reference Levels and IAEA Safety Standards</w:t>
      </w:r>
      <w:bookmarkEnd w:id="6"/>
      <w:bookmarkEnd w:id="7"/>
      <w:r w:rsidRPr="005B5956">
        <w:rPr>
          <w:lang w:val="en"/>
        </w:rPr>
        <w:t xml:space="preserve"> </w:t>
      </w:r>
      <w:bookmarkEnd w:id="8"/>
    </w:p>
    <w:p w14:paraId="6E120E6B" w14:textId="77777777" w:rsidR="00FB2318" w:rsidRPr="000727C3" w:rsidRDefault="00FB2318" w:rsidP="00FB2318">
      <w:pPr>
        <w:pStyle w:val="NumberedParagraph"/>
        <w:numPr>
          <w:ilvl w:val="0"/>
          <w:numId w:val="0"/>
        </w:numPr>
        <w:ind w:firstLine="720"/>
        <w:rPr>
          <w:b/>
        </w:rPr>
      </w:pPr>
      <w:r w:rsidRPr="000727C3">
        <w:rPr>
          <w:b/>
        </w:rPr>
        <w:t>Relevant SAPs</w:t>
      </w:r>
    </w:p>
    <w:p w14:paraId="6E120E6C" w14:textId="77777777" w:rsidR="00FB2318" w:rsidRDefault="00FB2318" w:rsidP="004C7D09">
      <w:pPr>
        <w:pStyle w:val="TSNumberedParagraph11"/>
      </w:pPr>
      <w:r w:rsidRPr="00C27CCB">
        <w:t>The SAPs covered by this TAG are FP.1 to FP.8 and the supporting paragraphs 4</w:t>
      </w:r>
      <w:r w:rsidR="009207A4">
        <w:t>7-5</w:t>
      </w:r>
      <w:r w:rsidRPr="00C27CCB">
        <w:t>2.</w:t>
      </w:r>
    </w:p>
    <w:p w14:paraId="6E120E6D" w14:textId="77777777" w:rsidR="00FB2318" w:rsidRDefault="00FB2318" w:rsidP="004C7D09">
      <w:pPr>
        <w:pStyle w:val="TSNumberedParagraph11"/>
      </w:pPr>
      <w:r w:rsidRPr="00C27CCB">
        <w:t>FP.1, ‘Responsibility for safety’</w:t>
      </w:r>
      <w:r w:rsidR="00BF0793">
        <w:t xml:space="preserve"> - </w:t>
      </w:r>
      <w:r w:rsidR="00BF0793" w:rsidRPr="00BF0793">
        <w:t xml:space="preserve">The prime responsibility for safety must rest with the person or organisation responsible for the facilities and activities that give rise to radiation risks. </w:t>
      </w:r>
      <w:r w:rsidR="00BF0793">
        <w:t xml:space="preserve">This principle </w:t>
      </w:r>
      <w:r w:rsidRPr="00C27CCB">
        <w:t>reflects the need for there to be a clear responsibili</w:t>
      </w:r>
      <w:r w:rsidR="00626183">
        <w:t>ty for safety in any workplace.</w:t>
      </w:r>
      <w:r>
        <w:t xml:space="preserve"> </w:t>
      </w:r>
      <w:r w:rsidRPr="00C27CCB">
        <w:t>For nuclear installations the main responsibility rests with the licensee, as defined in the Nuclear Installations Act 1965 (as amended</w:t>
      </w:r>
      <w:r w:rsidR="00626183">
        <w:t>) (NIA65).</w:t>
      </w:r>
      <w:r>
        <w:t xml:space="preserve"> </w:t>
      </w:r>
      <w:r w:rsidRPr="00C27CCB">
        <w:t xml:space="preserve">It should however be borne in mind that other persons in relation to nuclear licensed sites, tenants or the owners of sites, may have responsibilities for safety under the provisions of </w:t>
      </w:r>
      <w:r w:rsidR="009207A4">
        <w:t>HSWA</w:t>
      </w:r>
      <w:r w:rsidRPr="00C27CCB">
        <w:t>.</w:t>
      </w:r>
      <w:r>
        <w:t xml:space="preserve"> </w:t>
      </w:r>
      <w:r w:rsidRPr="00C27CCB">
        <w:t>For facilities not on nuclear licensed sites, it rests with the employer/</w:t>
      </w:r>
      <w:proofErr w:type="spellStart"/>
      <w:r w:rsidRPr="00C27CCB">
        <w:t>dutyholder</w:t>
      </w:r>
      <w:proofErr w:type="spellEnd"/>
      <w:r w:rsidRPr="00C27CCB">
        <w:t>.</w:t>
      </w:r>
    </w:p>
    <w:p w14:paraId="6E120E6E" w14:textId="77777777" w:rsidR="00FB2318" w:rsidRDefault="00FB2318" w:rsidP="004C7D09">
      <w:pPr>
        <w:pStyle w:val="TSNumberedParagraph11"/>
      </w:pPr>
      <w:r w:rsidRPr="00C27CCB">
        <w:t>FP.2, ‘Leadership and management for safety’</w:t>
      </w:r>
      <w:r w:rsidR="00BF0793">
        <w:t xml:space="preserve"> -</w:t>
      </w:r>
      <w:r w:rsidR="009207A4">
        <w:t xml:space="preserve"> </w:t>
      </w:r>
      <w:r w:rsidR="00BF0793" w:rsidRPr="00BF0793">
        <w:t>Effective leadership and management for safety must be established and sustained in organisations concerned with, and facilities and activities that give rise to, radiation risks.</w:t>
      </w:r>
      <w:r w:rsidR="00BF0793">
        <w:t xml:space="preserve"> This principle is further</w:t>
      </w:r>
      <w:r w:rsidRPr="00C27CCB">
        <w:t xml:space="preserve"> developed in the SAPs section with that title and in corresponding </w:t>
      </w:r>
      <w:r>
        <w:t>ONR</w:t>
      </w:r>
      <w:r w:rsidRPr="00C27CCB">
        <w:t xml:space="preserve"> guidance.</w:t>
      </w:r>
      <w:r>
        <w:t xml:space="preserve"> </w:t>
      </w:r>
      <w:r w:rsidRPr="00C27CCB">
        <w:t>It follows from FP.1</w:t>
      </w:r>
      <w:r w:rsidR="0052749F">
        <w:t xml:space="preserve"> </w:t>
      </w:r>
      <w:r w:rsidRPr="00C27CCB">
        <w:t xml:space="preserve">and recognises the crucial importance of leadership and management, including safety management systems, in achieving and </w:t>
      </w:r>
      <w:r w:rsidR="00626183">
        <w:t>maintaining a</w:t>
      </w:r>
      <w:r w:rsidRPr="00C27CCB">
        <w:t xml:space="preserve"> safety culture </w:t>
      </w:r>
      <w:r w:rsidR="007869C3">
        <w:t>for positive safety outcomes</w:t>
      </w:r>
      <w:r w:rsidRPr="00C27CCB">
        <w:t>.</w:t>
      </w:r>
    </w:p>
    <w:p w14:paraId="6E120E6F" w14:textId="77777777" w:rsidR="00FB2318" w:rsidRDefault="00FB2318" w:rsidP="004C7D09">
      <w:pPr>
        <w:pStyle w:val="TSNumberedParagraph11"/>
      </w:pPr>
      <w:r w:rsidRPr="00C27CCB">
        <w:t>FP.3, ‘Optimisation of protection’</w:t>
      </w:r>
      <w:r w:rsidR="00BF0793">
        <w:t xml:space="preserve"> - </w:t>
      </w:r>
      <w:r w:rsidR="00BF0793" w:rsidRPr="00BF0793">
        <w:t>Protection must be optimised to provide the highest level of safety that is reasonably practicable.</w:t>
      </w:r>
      <w:r w:rsidR="00BF0793">
        <w:t xml:space="preserve"> This principle is directly related to</w:t>
      </w:r>
      <w:r w:rsidRPr="00C27CCB">
        <w:t xml:space="preserve"> the fundamental requirement of HSWA that risks </w:t>
      </w:r>
      <w:r>
        <w:t xml:space="preserve">must be controlled </w:t>
      </w:r>
      <w:r w:rsidR="009207A4">
        <w:t xml:space="preserve">and reduced </w:t>
      </w:r>
      <w:r w:rsidRPr="00C27CCB">
        <w:t>SFAIRP. ‘Protection’ in the present context means measures to reduce the exposure of persons (workers and public) to ionising radiation, from both normal operation of facilities and accidents, including consideration of future generations. The principles in the SAPs are always subject to ALARP</w:t>
      </w:r>
      <w:r w:rsidR="007869C3">
        <w:t xml:space="preserve"> considerations</w:t>
      </w:r>
      <w:r w:rsidRPr="00C27CCB">
        <w:t>.</w:t>
      </w:r>
    </w:p>
    <w:p w14:paraId="6E120E70" w14:textId="77777777" w:rsidR="00FB2318" w:rsidRDefault="00FB2318" w:rsidP="004C7D09">
      <w:pPr>
        <w:pStyle w:val="TSNumberedParagraph11"/>
      </w:pPr>
      <w:r w:rsidRPr="00C27CCB">
        <w:t>FP.4, ‘Safety assessment’</w:t>
      </w:r>
      <w:r w:rsidR="00BF0793">
        <w:t xml:space="preserve"> - </w:t>
      </w:r>
      <w:proofErr w:type="spellStart"/>
      <w:r w:rsidR="00BF0793" w:rsidRPr="00BF0793">
        <w:t>Dutyholders</w:t>
      </w:r>
      <w:proofErr w:type="spellEnd"/>
      <w:r w:rsidR="00BF0793" w:rsidRPr="00BF0793">
        <w:t xml:space="preserve"> must demonstrate effective understanding and control of the hazards posed by a site or facility </w:t>
      </w:r>
      <w:r w:rsidR="007869C3">
        <w:t xml:space="preserve">by means of </w:t>
      </w:r>
      <w:r w:rsidR="00BF0793" w:rsidRPr="00BF0793">
        <w:t xml:space="preserve">a comprehensive and systematic </w:t>
      </w:r>
      <w:r w:rsidR="007869C3">
        <w:t xml:space="preserve">approach to </w:t>
      </w:r>
      <w:r w:rsidR="00BF0793" w:rsidRPr="00BF0793">
        <w:t>safety assessment.</w:t>
      </w:r>
      <w:r w:rsidR="00BF0793">
        <w:t xml:space="preserve"> This </w:t>
      </w:r>
      <w:r w:rsidRPr="00C27CCB">
        <w:t xml:space="preserve">relates to the </w:t>
      </w:r>
      <w:proofErr w:type="spellStart"/>
      <w:r w:rsidRPr="00C27CCB">
        <w:t>dutyholder’s</w:t>
      </w:r>
      <w:proofErr w:type="spellEnd"/>
      <w:r w:rsidRPr="00C27CCB">
        <w:t xml:space="preserve"> process</w:t>
      </w:r>
      <w:r w:rsidR="007869C3">
        <w:t xml:space="preserve">es for the </w:t>
      </w:r>
      <w:r w:rsidRPr="00C27CCB">
        <w:t>generat</w:t>
      </w:r>
      <w:r w:rsidR="007869C3">
        <w:t xml:space="preserve">ion of </w:t>
      </w:r>
      <w:r w:rsidRPr="00C27CCB">
        <w:t xml:space="preserve">safety cases. </w:t>
      </w:r>
      <w:r w:rsidR="00626183">
        <w:t>T</w:t>
      </w:r>
      <w:r w:rsidRPr="00C27CCB">
        <w:t xml:space="preserve">hese are the means by which </w:t>
      </w:r>
      <w:proofErr w:type="spellStart"/>
      <w:r w:rsidRPr="00C27CCB">
        <w:t>dutyholder</w:t>
      </w:r>
      <w:r w:rsidR="007869C3">
        <w:t>s</w:t>
      </w:r>
      <w:proofErr w:type="spellEnd"/>
      <w:r w:rsidRPr="00C27CCB">
        <w:t xml:space="preserve"> demonstrate an understanding of the hazards associated </w:t>
      </w:r>
      <w:r w:rsidR="007869C3">
        <w:t xml:space="preserve">with their </w:t>
      </w:r>
      <w:r w:rsidRPr="00C27CCB">
        <w:t xml:space="preserve">facilities and the means </w:t>
      </w:r>
      <w:r w:rsidR="007869C3">
        <w:t xml:space="preserve">by which they are to be </w:t>
      </w:r>
      <w:r w:rsidRPr="00C27CCB">
        <w:t>controll</w:t>
      </w:r>
      <w:r w:rsidR="007869C3">
        <w:t>ed</w:t>
      </w:r>
      <w:r w:rsidRPr="00C27CCB">
        <w:t>. The principles for safety cases are dev</w:t>
      </w:r>
      <w:r w:rsidR="0052749F">
        <w:t>eloped in the SAPs section on ‘t</w:t>
      </w:r>
      <w:r w:rsidRPr="00C27CCB">
        <w:t>he regulatory assessment of safety cases’.</w:t>
      </w:r>
    </w:p>
    <w:p w14:paraId="6E120E71" w14:textId="77777777" w:rsidR="00FB2318" w:rsidRDefault="00FB2318" w:rsidP="004C7D09">
      <w:pPr>
        <w:pStyle w:val="TSNumberedParagraph11"/>
      </w:pPr>
      <w:r w:rsidRPr="00C27CCB">
        <w:t>FP.5, ‘Limitation of risk to individuals’</w:t>
      </w:r>
      <w:r w:rsidR="002C68A0">
        <w:t xml:space="preserve"> - </w:t>
      </w:r>
      <w:r w:rsidR="002C68A0" w:rsidRPr="002C68A0">
        <w:t>Measures for controlling radiation risks must ensure that no individual bears an unacceptable risk of harm.</w:t>
      </w:r>
      <w:r w:rsidR="002C68A0">
        <w:t xml:space="preserve"> This</w:t>
      </w:r>
      <w:r w:rsidRPr="00C27CCB">
        <w:t xml:space="preserve"> reflects the basic aim of those parts of IRR</w:t>
      </w:r>
      <w:r w:rsidR="006F317D">
        <w:t>17</w:t>
      </w:r>
      <w:r w:rsidRPr="00C27CCB">
        <w:t xml:space="preserve"> which set statutory limits on the exposure of individuals to ionising radiation. In addition, there are non-statutory limits targeted at limiting the risk to people. See for example SAPs paragraphs </w:t>
      </w:r>
      <w:r w:rsidR="009207A4">
        <w:t>698-700</w:t>
      </w:r>
      <w:r w:rsidRPr="00C27CCB">
        <w:t xml:space="preserve"> and </w:t>
      </w:r>
      <w:r w:rsidR="009207A4">
        <w:t>706-709</w:t>
      </w:r>
      <w:r w:rsidRPr="00C27CCB">
        <w:t>.</w:t>
      </w:r>
    </w:p>
    <w:p w14:paraId="6E120E72" w14:textId="77777777" w:rsidR="00FB2318" w:rsidRDefault="00FB2318" w:rsidP="004C7D09">
      <w:pPr>
        <w:pStyle w:val="TSNumberedParagraph11"/>
      </w:pPr>
      <w:r w:rsidRPr="00C27CCB">
        <w:t>FP.6, ‘Prevention of accidents’</w:t>
      </w:r>
      <w:r w:rsidR="002C68A0">
        <w:t xml:space="preserve"> - </w:t>
      </w:r>
      <w:r w:rsidR="00C63CAD" w:rsidRPr="00C63CAD">
        <w:t>All reasonably practicable steps must be taken to prevent and mitigate nuclear or radiation accidents.</w:t>
      </w:r>
      <w:r w:rsidR="00C63CAD">
        <w:t xml:space="preserve"> This</w:t>
      </w:r>
      <w:r w:rsidR="00C63CAD" w:rsidRPr="00C63CAD">
        <w:t xml:space="preserve"> </w:t>
      </w:r>
      <w:r w:rsidRPr="00C27CCB">
        <w:t>is assessed against the SAPs relating to design and operation, and demonstrated in safety cases on system robustness and accident analysis. Many o</w:t>
      </w:r>
      <w:r w:rsidR="00732687">
        <w:t>f the SAPs, for example EKP.3 ‘D</w:t>
      </w:r>
      <w:r w:rsidRPr="00C27CCB">
        <w:t>efence in depth’, are aimed at this objective. Mitigation covers both the on-site response to make safe any plant involved in an accident, and measures taken to protect individuals on and off-site.</w:t>
      </w:r>
    </w:p>
    <w:p w14:paraId="6E120E73" w14:textId="77777777" w:rsidR="00FB2318" w:rsidRPr="00C27CCB" w:rsidRDefault="00FB2318" w:rsidP="004C7D09">
      <w:pPr>
        <w:pStyle w:val="TSNumberedParagraph11"/>
      </w:pPr>
      <w:r w:rsidRPr="00C27CCB">
        <w:t>FP.7, ‘Emergency preparedness and response’</w:t>
      </w:r>
      <w:r w:rsidR="00732687">
        <w:t xml:space="preserve"> </w:t>
      </w:r>
      <w:r w:rsidR="00C63CAD">
        <w:t>-</w:t>
      </w:r>
      <w:r w:rsidRPr="00C27CCB">
        <w:t xml:space="preserve"> </w:t>
      </w:r>
      <w:r w:rsidR="00C63CAD" w:rsidRPr="00C63CAD">
        <w:t xml:space="preserve">Arrangements must be made for emergency preparedness and response in case of nuclear or radiation incidents. </w:t>
      </w:r>
      <w:r w:rsidR="00C63CAD">
        <w:t xml:space="preserve">This </w:t>
      </w:r>
      <w:r w:rsidRPr="00C27CCB">
        <w:t xml:space="preserve">relates to the requirements of the Radiation (Emergency Preparedness and Public Information) Regulations 2001 (REPPIR01) for the protection of people on and off-site in the event of an emergency with the potential to </w:t>
      </w:r>
      <w:r w:rsidR="0052749F">
        <w:t>give rise to</w:t>
      </w:r>
      <w:r w:rsidRPr="00C27CCB">
        <w:t xml:space="preserve"> radiation doses above a certain threshold.</w:t>
      </w:r>
      <w:r>
        <w:t xml:space="preserve"> </w:t>
      </w:r>
      <w:r w:rsidRPr="00C27CCB">
        <w:t>It also considers responses made under IRR</w:t>
      </w:r>
      <w:r w:rsidR="006F317D">
        <w:t>17</w:t>
      </w:r>
      <w:r w:rsidRPr="00C27CCB">
        <w:t xml:space="preserve"> reg</w:t>
      </w:r>
      <w:r w:rsidR="00732687">
        <w:t>ulation</w:t>
      </w:r>
      <w:r w:rsidRPr="00C27CCB">
        <w:t xml:space="preserve"> 1</w:t>
      </w:r>
      <w:r w:rsidR="006F317D">
        <w:t>3</w:t>
      </w:r>
      <w:r w:rsidRPr="00C27CCB">
        <w:t>.</w:t>
      </w:r>
    </w:p>
    <w:p w14:paraId="6E120E74" w14:textId="77777777" w:rsidR="00FB2318" w:rsidRDefault="00FB2318" w:rsidP="004C7D09">
      <w:pPr>
        <w:pStyle w:val="TSNumberedParagraph11"/>
      </w:pPr>
      <w:r w:rsidRPr="00C27CCB">
        <w:t>FP.8, ‘Protection of present and future generations’</w:t>
      </w:r>
      <w:r w:rsidR="00C63CAD">
        <w:t xml:space="preserve"> - </w:t>
      </w:r>
      <w:r w:rsidR="00C63CAD" w:rsidRPr="00C63CAD">
        <w:t xml:space="preserve">People, present and future, must be adequately protected against radiation risks. </w:t>
      </w:r>
      <w:r w:rsidR="00C63CAD">
        <w:t xml:space="preserve">This principle </w:t>
      </w:r>
      <w:r w:rsidRPr="00C27CCB">
        <w:t>recognises that the hazard from radioactivity may be long-lived and widespread. This means that the possible consequences, now and in the future, of current actions have to be taken into account in judging the adequacy of measures taken to control radiation risks.</w:t>
      </w:r>
      <w:r>
        <w:t xml:space="preserve"> </w:t>
      </w:r>
      <w:r w:rsidRPr="00C27CCB">
        <w:t>In addition it recognises that there may be risk</w:t>
      </w:r>
      <w:r w:rsidR="0050635B">
        <w:t>s</w:t>
      </w:r>
      <w:r w:rsidRPr="00C27CCB">
        <w:t xml:space="preserve"> of genetic detriment to future generations, as well as somatic detriment to exposed individual</w:t>
      </w:r>
      <w:r w:rsidR="0050635B">
        <w:t>s</w:t>
      </w:r>
      <w:r w:rsidR="0052749F">
        <w:t>.</w:t>
      </w:r>
    </w:p>
    <w:p w14:paraId="6E120E75" w14:textId="77777777" w:rsidR="00FB2318" w:rsidRPr="00C27CCB" w:rsidRDefault="00FB2318" w:rsidP="004C7D09">
      <w:pPr>
        <w:pStyle w:val="TSNumberedParagraph11"/>
      </w:pPr>
      <w:r w:rsidRPr="00C27CCB">
        <w:t xml:space="preserve">Satisfying the fundamental principles is the main aim of </w:t>
      </w:r>
      <w:r w:rsidR="003A473E">
        <w:t>all other p</w:t>
      </w:r>
      <w:r w:rsidRPr="00C27CCB">
        <w:t>rinciples</w:t>
      </w:r>
      <w:r w:rsidR="003A473E">
        <w:t xml:space="preserve"> in the SAP</w:t>
      </w:r>
      <w:r w:rsidRPr="00C27CCB">
        <w:t>. The</w:t>
      </w:r>
      <w:r w:rsidR="003A473E">
        <w:t>se</w:t>
      </w:r>
      <w:r w:rsidRPr="00C27CCB">
        <w:t xml:space="preserve"> fundamental principles should therefore be kept in mind when assessing all safety submissions </w:t>
      </w:r>
      <w:r w:rsidR="003A473E">
        <w:t>because</w:t>
      </w:r>
      <w:r w:rsidRPr="00C27CCB">
        <w:t xml:space="preserve"> they </w:t>
      </w:r>
      <w:r w:rsidR="003A473E">
        <w:t xml:space="preserve">establish </w:t>
      </w:r>
      <w:r w:rsidRPr="00C27CCB">
        <w:t>the overall framework and underlying philosophy for safety</w:t>
      </w:r>
      <w:r w:rsidR="003A473E">
        <w:t xml:space="preserve"> that should be used in ONR safety assessment</w:t>
      </w:r>
      <w:r w:rsidRPr="00C27CCB">
        <w:t>.</w:t>
      </w:r>
    </w:p>
    <w:p w14:paraId="6E120E76" w14:textId="77777777" w:rsidR="00FB2318" w:rsidRPr="00732687" w:rsidRDefault="00FB2318" w:rsidP="00FB2318">
      <w:pPr>
        <w:pStyle w:val="Heading2"/>
        <w:spacing w:after="240"/>
        <w:ind w:left="709"/>
        <w:rPr>
          <w:sz w:val="28"/>
        </w:rPr>
      </w:pPr>
      <w:r w:rsidRPr="0026587A">
        <w:t xml:space="preserve">WENRA </w:t>
      </w:r>
      <w:r w:rsidR="00732687">
        <w:rPr>
          <w:caps w:val="0"/>
          <w:sz w:val="24"/>
        </w:rPr>
        <w:t>safety reference levels</w:t>
      </w:r>
    </w:p>
    <w:p w14:paraId="6E120E77" w14:textId="77777777" w:rsidR="00FB2318" w:rsidRDefault="00FB2318" w:rsidP="004C7D09">
      <w:pPr>
        <w:pStyle w:val="TSNumberedParagraph11"/>
      </w:pPr>
      <w:r w:rsidRPr="00C40B88">
        <w:t>The objective of the Western European Nuclear Regulators Association (WENRA) is to develop a common approach to nuclear safety in Europe by comparing national approaches to the application of IAEA safety standards.</w:t>
      </w:r>
      <w:r>
        <w:t xml:space="preserve"> </w:t>
      </w:r>
      <w:r w:rsidRPr="00C40B88">
        <w:t>Their Safety Reference Levels (SRL)</w:t>
      </w:r>
      <w:r w:rsidRPr="00C40B88">
        <w:rPr>
          <w:vertAlign w:val="superscript"/>
          <w:lang w:val="en"/>
        </w:rPr>
        <w:t xml:space="preserve"> </w:t>
      </w:r>
      <w:hyperlink w:anchor="ref9" w:history="1">
        <w:r w:rsidRPr="00C40B88">
          <w:rPr>
            <w:rStyle w:val="Hyperlink"/>
            <w:vertAlign w:val="superscript"/>
            <w:lang w:val="en"/>
          </w:rPr>
          <w:t>[</w:t>
        </w:r>
        <w:r w:rsidR="002364EB">
          <w:rPr>
            <w:rStyle w:val="Hyperlink"/>
            <w:vertAlign w:val="superscript"/>
            <w:lang w:val="en"/>
          </w:rPr>
          <w:t>9</w:t>
        </w:r>
        <w:r w:rsidRPr="00C40B88">
          <w:rPr>
            <w:rStyle w:val="Hyperlink"/>
            <w:vertAlign w:val="superscript"/>
            <w:lang w:val="en"/>
          </w:rPr>
          <w:t>]</w:t>
        </w:r>
        <w:r w:rsidRPr="00C40B88">
          <w:rPr>
            <w:rStyle w:val="Hyperlink"/>
          </w:rPr>
          <w:t>,</w:t>
        </w:r>
      </w:hyperlink>
      <w:r w:rsidRPr="00C40B88">
        <w:t xml:space="preserve"> which are primarily based on the IAEA safety standards, represent good practices in the WENRA member states and also represent a consensus view of the main requirements to be applied to ensure nuclear safety in operating facilities.</w:t>
      </w:r>
      <w:r w:rsidRPr="00C40B88">
        <w:rPr>
          <w:color w:val="333333"/>
        </w:rPr>
        <w:t xml:space="preserve"> </w:t>
      </w:r>
      <w:r w:rsidRPr="00C40B88">
        <w:t>The SRL are not set at the fundamental principle level, so there is no one</w:t>
      </w:r>
      <w:r w:rsidR="00794668">
        <w:t>-</w:t>
      </w:r>
      <w:r w:rsidRPr="00C40B88">
        <w:t>to</w:t>
      </w:r>
      <w:r w:rsidR="00794668">
        <w:t>-</w:t>
      </w:r>
      <w:r w:rsidRPr="00C40B88">
        <w:t xml:space="preserve">one correspondence with them and this guide, </w:t>
      </w:r>
      <w:r w:rsidR="00794668">
        <w:t>however,</w:t>
      </w:r>
      <w:r w:rsidRPr="00C40B88">
        <w:rPr>
          <w:color w:val="333333"/>
        </w:rPr>
        <w:t xml:space="preserve"> </w:t>
      </w:r>
      <w:r w:rsidRPr="00C40B88">
        <w:rPr>
          <w:lang w:val="en"/>
        </w:rPr>
        <w:t>this guidance is generally consistent with them</w:t>
      </w:r>
      <w:r w:rsidRPr="00C27CCB">
        <w:t>.</w:t>
      </w:r>
      <w:bookmarkStart w:id="9" w:name="_IAEA_safety_standards"/>
      <w:bookmarkEnd w:id="9"/>
    </w:p>
    <w:p w14:paraId="6E120E78" w14:textId="77777777" w:rsidR="00FB2318" w:rsidRPr="000727C3" w:rsidRDefault="00FB2318" w:rsidP="00FB2318">
      <w:pPr>
        <w:spacing w:after="240"/>
        <w:ind w:left="709"/>
        <w:rPr>
          <w:b/>
        </w:rPr>
      </w:pPr>
      <w:r w:rsidRPr="000727C3">
        <w:rPr>
          <w:b/>
        </w:rPr>
        <w:t>IAEA safety standards</w:t>
      </w:r>
    </w:p>
    <w:p w14:paraId="6E120E79" w14:textId="77777777" w:rsidR="00FB2318" w:rsidRPr="00C27CCB" w:rsidRDefault="00FB2318" w:rsidP="004C7D09">
      <w:pPr>
        <w:pStyle w:val="TSNumberedParagraph11"/>
      </w:pPr>
      <w:r w:rsidRPr="00C27CCB">
        <w:t xml:space="preserve">The IAEA </w:t>
      </w:r>
      <w:r w:rsidR="00A72557">
        <w:t>Safety S</w:t>
      </w:r>
      <w:r w:rsidRPr="00C27CCB">
        <w:t>tandards</w:t>
      </w:r>
      <w:r w:rsidR="00A72557">
        <w:t xml:space="preserve">, </w:t>
      </w:r>
      <w:r w:rsidRPr="00C27CCB">
        <w:t>Fun</w:t>
      </w:r>
      <w:r w:rsidR="00A72557">
        <w:t>damental Safety Principles</w:t>
      </w:r>
      <w:r w:rsidRPr="00C27CCB">
        <w:t xml:space="preserve">, </w:t>
      </w:r>
      <w:r w:rsidR="00A72557">
        <w:t xml:space="preserve">Safety Fundamentals No. </w:t>
      </w:r>
      <w:r w:rsidRPr="00C27CCB">
        <w:t xml:space="preserve">SF-1 </w:t>
      </w:r>
      <w:hyperlink w:anchor="ref10" w:history="1">
        <w:r w:rsidR="002364EB">
          <w:rPr>
            <w:rStyle w:val="Hyperlink"/>
            <w:vertAlign w:val="superscript"/>
          </w:rPr>
          <w:t>[10</w:t>
        </w:r>
        <w:r w:rsidRPr="003042EA">
          <w:rPr>
            <w:rStyle w:val="Hyperlink"/>
            <w:vertAlign w:val="superscript"/>
          </w:rPr>
          <w:t>]</w:t>
        </w:r>
      </w:hyperlink>
      <w:r w:rsidRPr="00C27CCB">
        <w:t xml:space="preserve"> and supporting documents are relevant to the Fundamental Principles in the SAPs. The objective of SF-1 is to establish the fundamental safety objective, safety principles and concepts that provide the bases for the IAEA’s safety standards and its safety</w:t>
      </w:r>
      <w:r w:rsidR="00794668">
        <w:t>-</w:t>
      </w:r>
      <w:r w:rsidRPr="00C27CCB">
        <w:t>related programme. Related requirements are</w:t>
      </w:r>
      <w:r>
        <w:t xml:space="preserve"> </w:t>
      </w:r>
      <w:r w:rsidRPr="00C27CCB">
        <w:t xml:space="preserve">established in the </w:t>
      </w:r>
      <w:r w:rsidR="00A72557">
        <w:t xml:space="preserve">General </w:t>
      </w:r>
      <w:r w:rsidRPr="00C27CCB">
        <w:t>Safety Requirements publications.</w:t>
      </w:r>
      <w:r>
        <w:t xml:space="preserve"> </w:t>
      </w:r>
      <w:r w:rsidRPr="00C27CCB">
        <w:t>Guidance on meeting these requirements is provided in the related Safety Guides.</w:t>
      </w:r>
    </w:p>
    <w:p w14:paraId="6E120E7A" w14:textId="77777777" w:rsidR="00FB2318" w:rsidRPr="00C27CCB" w:rsidRDefault="00FB2318" w:rsidP="004C7D09">
      <w:pPr>
        <w:pStyle w:val="TSNumberedParagraph11"/>
      </w:pPr>
      <w:r w:rsidRPr="00C27CCB">
        <w:t>The IAEA have established 10 safety principles.</w:t>
      </w:r>
      <w:r>
        <w:t xml:space="preserve"> </w:t>
      </w:r>
      <w:r w:rsidRPr="00C27CCB">
        <w:t>Of these 7 are relevant to the SAPs Fundamental Principles. The relation between the Fundamental Principles in the SAPs and those in SF-1 are as follows:</w:t>
      </w:r>
    </w:p>
    <w:p w14:paraId="6E120E7B" w14:textId="77777777" w:rsidR="00FB2318" w:rsidRPr="00C27CCB" w:rsidRDefault="00FB2318" w:rsidP="00FB2318">
      <w:pPr>
        <w:ind w:left="1701"/>
      </w:pPr>
      <w:r w:rsidRPr="00C27CCB">
        <w:t>FP.1 relates to IAEA Principle 1,</w:t>
      </w:r>
    </w:p>
    <w:p w14:paraId="6E120E7C" w14:textId="77777777" w:rsidR="00FB2318" w:rsidRPr="00C27CCB" w:rsidRDefault="00FB2318" w:rsidP="00FB2318">
      <w:pPr>
        <w:ind w:left="1701"/>
      </w:pPr>
      <w:r w:rsidRPr="00C27CCB">
        <w:t>FP.2 relates to IAEA Principle 3,</w:t>
      </w:r>
    </w:p>
    <w:p w14:paraId="6E120E7D" w14:textId="77777777" w:rsidR="00FB2318" w:rsidRPr="00C27CCB" w:rsidRDefault="00FB2318" w:rsidP="00FB2318">
      <w:pPr>
        <w:ind w:left="1701"/>
      </w:pPr>
      <w:r w:rsidRPr="00C27CCB">
        <w:t>FP.3 relates to IAEA Principle 5,</w:t>
      </w:r>
    </w:p>
    <w:p w14:paraId="6E120E7E" w14:textId="77777777" w:rsidR="00FB2318" w:rsidRPr="00C27CCB" w:rsidRDefault="00FB2318" w:rsidP="00FB2318">
      <w:pPr>
        <w:ind w:left="1701"/>
      </w:pPr>
      <w:r w:rsidRPr="00C27CCB">
        <w:t>FP.4 relates to IAEA Principle 5,</w:t>
      </w:r>
    </w:p>
    <w:p w14:paraId="6E120E7F" w14:textId="77777777" w:rsidR="00FB2318" w:rsidRPr="00C27CCB" w:rsidRDefault="00FB2318" w:rsidP="00FB2318">
      <w:pPr>
        <w:ind w:left="1701"/>
      </w:pPr>
      <w:r w:rsidRPr="00C27CCB">
        <w:t>FP.5 relates to IAEA Principle 6,</w:t>
      </w:r>
    </w:p>
    <w:p w14:paraId="6E120E80" w14:textId="77777777" w:rsidR="00FB2318" w:rsidRPr="00C27CCB" w:rsidRDefault="00FB2318" w:rsidP="00FB2318">
      <w:pPr>
        <w:ind w:left="1701"/>
      </w:pPr>
      <w:r w:rsidRPr="00C27CCB">
        <w:t>FP.6 relates to IAEA Principle 8,</w:t>
      </w:r>
    </w:p>
    <w:p w14:paraId="6E120E81" w14:textId="77777777" w:rsidR="00FB2318" w:rsidRPr="00C27CCB" w:rsidRDefault="00FB2318" w:rsidP="00FB2318">
      <w:pPr>
        <w:ind w:left="1701"/>
      </w:pPr>
      <w:r w:rsidRPr="00C27CCB">
        <w:t>FP.7 relates to IAEA Principle 9, and</w:t>
      </w:r>
    </w:p>
    <w:p w14:paraId="6E120E82" w14:textId="77777777" w:rsidR="00FB2318" w:rsidRDefault="00FB2318" w:rsidP="00FB2318">
      <w:pPr>
        <w:spacing w:after="240"/>
        <w:ind w:left="1701"/>
      </w:pPr>
      <w:r w:rsidRPr="00C27CCB">
        <w:t>FP.8 relates to IAEA Principle 7.</w:t>
      </w:r>
    </w:p>
    <w:p w14:paraId="6E120E83" w14:textId="77777777" w:rsidR="00FB2318" w:rsidRDefault="00FB2318" w:rsidP="004C7D09">
      <w:pPr>
        <w:pStyle w:val="TSNumberedParagraph11"/>
      </w:pPr>
      <w:r w:rsidRPr="00C27CCB">
        <w:t>It should be noted that IAEA Fundamental Safety Principle</w:t>
      </w:r>
      <w:r w:rsidR="00690CB3">
        <w:t>s</w:t>
      </w:r>
      <w:r w:rsidRPr="00C27CCB">
        <w:t xml:space="preserve"> 2 (legal framework), 4 (justification) and 10 (unregulated radiation risks) are outside the scope of the SA</w:t>
      </w:r>
      <w:r>
        <w:t>Ps.</w:t>
      </w:r>
    </w:p>
    <w:p w14:paraId="6E120E84" w14:textId="77777777" w:rsidR="00626183" w:rsidRPr="004146E5" w:rsidRDefault="00626183" w:rsidP="00626183">
      <w:pPr>
        <w:pStyle w:val="TSNumberedParagraph11"/>
        <w:numPr>
          <w:ilvl w:val="0"/>
          <w:numId w:val="0"/>
        </w:numPr>
        <w:ind w:left="720"/>
      </w:pPr>
    </w:p>
    <w:p w14:paraId="6E120E85" w14:textId="77777777" w:rsidR="00FB2318" w:rsidRDefault="00FB2318" w:rsidP="00884B1B">
      <w:pPr>
        <w:pStyle w:val="TSHeadingNumbered1"/>
      </w:pPr>
      <w:bookmarkStart w:id="10" w:name="_Toc353809755"/>
      <w:bookmarkStart w:id="11" w:name="_Toc353875199"/>
      <w:bookmarkStart w:id="12" w:name="_Toc5280394"/>
      <w:r w:rsidRPr="00C27CCB">
        <w:t>Advice to assessors</w:t>
      </w:r>
      <w:bookmarkEnd w:id="10"/>
      <w:bookmarkEnd w:id="11"/>
      <w:bookmarkEnd w:id="12"/>
    </w:p>
    <w:p w14:paraId="6E120E86" w14:textId="4B20E1C0" w:rsidR="00FB2318" w:rsidRDefault="00D91368" w:rsidP="004C7D09">
      <w:pPr>
        <w:pStyle w:val="TSNumberedParagraph11"/>
      </w:pPr>
      <w:r>
        <w:t>Duties predicated on the ‘reasonably practicab</w:t>
      </w:r>
      <w:r w:rsidR="00F92CBE">
        <w:t>le</w:t>
      </w:r>
      <w:r>
        <w:t xml:space="preserve">’ test in HSWA and its relevant statutory provisions are open to interpretation by </w:t>
      </w:r>
      <w:proofErr w:type="spellStart"/>
      <w:r>
        <w:t>dutyholders</w:t>
      </w:r>
      <w:proofErr w:type="spellEnd"/>
      <w:r>
        <w:t xml:space="preserve"> and regulators</w:t>
      </w:r>
      <w:r w:rsidR="001835C7">
        <w:t xml:space="preserve"> alike</w:t>
      </w:r>
      <w:r w:rsidR="00626183">
        <w:t xml:space="preserve">. </w:t>
      </w:r>
      <w:r w:rsidR="00B97368">
        <w:t>This is</w:t>
      </w:r>
      <w:r>
        <w:t xml:space="preserve"> because </w:t>
      </w:r>
      <w:r w:rsidR="00F92CBE">
        <w:t xml:space="preserve">it is a </w:t>
      </w:r>
      <w:r>
        <w:t xml:space="preserve">test </w:t>
      </w:r>
      <w:r w:rsidR="00F92CBE">
        <w:t xml:space="preserve">that </w:t>
      </w:r>
      <w:r>
        <w:t>is not expressly defined in criminal law</w:t>
      </w:r>
      <w:r w:rsidR="00F92CBE">
        <w:t xml:space="preserve"> but rather </w:t>
      </w:r>
      <w:r w:rsidR="00B97368">
        <w:t xml:space="preserve">a determination </w:t>
      </w:r>
      <w:r w:rsidR="00F92CBE">
        <w:t xml:space="preserve">made in accordance with relevant case law when proceedings are brought before a court </w:t>
      </w:r>
      <w:r w:rsidR="00B97368">
        <w:t xml:space="preserve">in </w:t>
      </w:r>
      <w:r w:rsidR="00626183">
        <w:t xml:space="preserve">this matter. </w:t>
      </w:r>
      <w:r w:rsidR="00F92CBE">
        <w:t xml:space="preserve">In this regard, courts are strongly directed by a legal </w:t>
      </w:r>
      <w:r w:rsidR="00B97368">
        <w:t>precedent established in 1949 in “Edwards V. The National Coal Board” which, on appeal, led to the following verdict on the meaning of ‘reasonably practicable’:</w:t>
      </w:r>
      <w:r w:rsidR="00B97368">
        <w:br/>
      </w:r>
      <w:r w:rsidR="00B97368">
        <w:br/>
      </w:r>
      <w:r w:rsidR="00B97368" w:rsidRPr="00690CB3">
        <w:rPr>
          <w:i/>
        </w:rPr>
        <w:t>“Reasonably practicable is a narrower term than ‘physically possible’ and implies that a computation must be made... in which the quantum of risk is placed in one scale and the sacrifice involved in the measures necessary for averting the risk (whether in time, trouble or money) is placed in the other and that, if it be shown that there is a great disproportion between them – the risk being insignificant in relation to the sacrifice – the person upon whom the obligation is imposed discharges the onus which is upon him.”</w:t>
      </w:r>
      <w:r w:rsidR="006A5CCA">
        <w:br/>
      </w:r>
      <w:r w:rsidR="006A5CCA">
        <w:br/>
        <w:t>It should be noted that the standard of proof that courts apply in such cases is the civil law test of ‘balance of probability’ rather than the test of ‘beyond all reasonabl</w:t>
      </w:r>
      <w:r w:rsidR="001835C7">
        <w:t>e</w:t>
      </w:r>
      <w:r w:rsidR="006A5CCA">
        <w:t xml:space="preserve"> doubt’ and that the burden of proof rests with the defendant rather than the prosecution.</w:t>
      </w:r>
      <w:r w:rsidR="006A5CCA">
        <w:br/>
      </w:r>
      <w:r w:rsidR="00B97368" w:rsidRPr="006A5CCA">
        <w:br/>
      </w:r>
      <w:r w:rsidR="00A72557">
        <w:t>SAPs paragraphs 9-18</w:t>
      </w:r>
      <w:r w:rsidR="00FB2318" w:rsidRPr="003537AF">
        <w:t xml:space="preserve"> give general guidance on the philosophy of ‘reasonably practica</w:t>
      </w:r>
      <w:r w:rsidR="00A72557">
        <w:t>ble’, which underlies the HSWA phraseology</w:t>
      </w:r>
      <w:r w:rsidR="00FB2318" w:rsidRPr="003537AF">
        <w:t xml:space="preserve"> SFAIRP and the effectively</w:t>
      </w:r>
      <w:r w:rsidR="00FB2318" w:rsidRPr="00C27CCB">
        <w:t xml:space="preserve"> equivalent term ALARP. The term As Low As Reasonably Achievable (ALARA) is used internationally and is taken to be equivalent to ALARP allowing for social and economic factors. Assessors should be familiar with the SAPs general guidance and the documents referred to therein.</w:t>
      </w:r>
      <w:r w:rsidR="00FB2318">
        <w:t xml:space="preserve"> </w:t>
      </w:r>
      <w:r w:rsidR="00FB2318" w:rsidRPr="00C27CCB">
        <w:t xml:space="preserve">Aspects specific to nuclear safety are developed further in </w:t>
      </w:r>
      <w:r w:rsidR="00FB2318" w:rsidRPr="00E376F3">
        <w:t>NS-TAST-GD-005</w:t>
      </w:r>
      <w:r w:rsidR="00FB2318">
        <w:t xml:space="preserve"> </w:t>
      </w:r>
      <w:r w:rsidR="00FB2318" w:rsidRPr="00C27CCB">
        <w:t xml:space="preserve">supported by; Reducing Risks, Protecting People: HSE’s decision making process </w:t>
      </w:r>
      <w:r w:rsidR="00453151" w:rsidRPr="00453151">
        <w:t>(R2P2)</w:t>
      </w:r>
      <w:r w:rsidR="00FB2318" w:rsidRPr="00C27CCB">
        <w:t xml:space="preserve"> </w:t>
      </w:r>
      <w:hyperlink w:anchor="ref11" w:history="1">
        <w:r w:rsidR="0090639A" w:rsidRPr="008306B7">
          <w:rPr>
            <w:rStyle w:val="Hyperlink"/>
            <w:vertAlign w:val="superscript"/>
          </w:rPr>
          <w:t>[1</w:t>
        </w:r>
        <w:r w:rsidR="00ED7706">
          <w:rPr>
            <w:rStyle w:val="Hyperlink"/>
            <w:vertAlign w:val="superscript"/>
          </w:rPr>
          <w:t>1</w:t>
        </w:r>
        <w:r w:rsidR="0090639A" w:rsidRPr="008306B7">
          <w:rPr>
            <w:rStyle w:val="Hyperlink"/>
            <w:vertAlign w:val="superscript"/>
          </w:rPr>
          <w:t>]</w:t>
        </w:r>
      </w:hyperlink>
      <w:r w:rsidR="0090639A">
        <w:t xml:space="preserve"> </w:t>
      </w:r>
      <w:r w:rsidR="00FB2318" w:rsidRPr="00C27CCB">
        <w:t xml:space="preserve">and the 6 ALARP guides published on the HSE website. </w:t>
      </w:r>
    </w:p>
    <w:p w14:paraId="6E120E87" w14:textId="77777777" w:rsidR="00FB2318" w:rsidRDefault="00FB2318" w:rsidP="004C7D09">
      <w:pPr>
        <w:pStyle w:val="TSNumberedParagraph11"/>
      </w:pPr>
      <w:r w:rsidRPr="00C27CCB">
        <w:t>The FPs are drafted as requirements, using the word ‘must’, reflecting their relation to legal requirements.</w:t>
      </w:r>
      <w:r>
        <w:t xml:space="preserve"> </w:t>
      </w:r>
      <w:r w:rsidRPr="00C27CCB">
        <w:t xml:space="preserve">Most of the other SAPs use ‘should’ or similar (exceptions being those SAPs which contain statutory requirements). </w:t>
      </w:r>
      <w:r w:rsidR="00626183">
        <w:t>T</w:t>
      </w:r>
      <w:r w:rsidRPr="00C27CCB">
        <w:t>he use of ‘should’ reflects the flexible nature of health and safety law where ‘reasonably practicable’ takes account of the nature and scale of hazards and risks. This also allows the possibility of different equivalent or better alternatives to the safety provisions indicated in SAPs and guidance.</w:t>
      </w:r>
      <w:r>
        <w:t xml:space="preserve"> </w:t>
      </w:r>
      <w:r w:rsidRPr="00C27CCB">
        <w:t>See SAPs Introduction, paragraphs 1</w:t>
      </w:r>
      <w:r w:rsidR="00A72557">
        <w:t>4</w:t>
      </w:r>
      <w:r w:rsidRPr="00C27CCB">
        <w:t>-1</w:t>
      </w:r>
      <w:r w:rsidR="00A72557">
        <w:t>8</w:t>
      </w:r>
      <w:r w:rsidRPr="00C27CCB">
        <w:t xml:space="preserve"> and 2</w:t>
      </w:r>
      <w:r w:rsidR="00A72557">
        <w:t>7-30</w:t>
      </w:r>
      <w:r w:rsidRPr="00C27CCB">
        <w:t xml:space="preserve"> regarding ALARP and proportionality.</w:t>
      </w:r>
    </w:p>
    <w:p w14:paraId="6E120E88" w14:textId="77777777" w:rsidR="00FB2318" w:rsidRDefault="00FB2318" w:rsidP="004C7D09">
      <w:pPr>
        <w:pStyle w:val="TSNumberedParagraph11"/>
      </w:pPr>
      <w:r w:rsidRPr="00C27CCB">
        <w:t xml:space="preserve">Guidance on FP.1 regarding </w:t>
      </w:r>
      <w:proofErr w:type="spellStart"/>
      <w:r w:rsidRPr="00C27CCB">
        <w:t>dutyholder</w:t>
      </w:r>
      <w:proofErr w:type="spellEnd"/>
      <w:r w:rsidRPr="00C27CCB">
        <w:t xml:space="preserve"> responsibilities is given in the document</w:t>
      </w:r>
      <w:r>
        <w:t xml:space="preserve"> ‘</w:t>
      </w:r>
      <w:hyperlink r:id="rId20" w:history="1">
        <w:r w:rsidRPr="00AB6289">
          <w:rPr>
            <w:rStyle w:val="Hyperlink"/>
          </w:rPr>
          <w:t>Licensing Nuclear Installations</w:t>
        </w:r>
      </w:hyperlink>
      <w:r>
        <w:t>’.</w:t>
      </w:r>
    </w:p>
    <w:p w14:paraId="6E120E89" w14:textId="443C5AC1" w:rsidR="0019572D" w:rsidRDefault="00FB2318">
      <w:pPr>
        <w:pStyle w:val="TSNumberedParagraph11"/>
      </w:pPr>
      <w:r w:rsidRPr="00C27CCB">
        <w:t xml:space="preserve">In </w:t>
      </w:r>
      <w:r>
        <w:t xml:space="preserve">the application of </w:t>
      </w:r>
      <w:r w:rsidRPr="00C27CCB">
        <w:t xml:space="preserve">FP.2, Leadership and management for safety, the assessor should take account of the Principles MS.1 to MS.4 and the guidance given in paragraphs </w:t>
      </w:r>
      <w:r w:rsidR="00A72557">
        <w:t xml:space="preserve">53-78 </w:t>
      </w:r>
      <w:r w:rsidRPr="00C27CCB">
        <w:t>of the SAPs.</w:t>
      </w:r>
      <w:r w:rsidR="00C63CAD">
        <w:t xml:space="preserve"> Additional guidance can be found in the TAG related to </w:t>
      </w:r>
      <w:r w:rsidR="0019572D">
        <w:t xml:space="preserve">Leadership and Management for safety </w:t>
      </w:r>
      <w:r w:rsidR="0019572D" w:rsidRPr="007766DF">
        <w:t>NS-TAST-GD-093 Revision 1 Guidance for undertaking Leadership and Management for Safety Reviews</w:t>
      </w:r>
      <w:r w:rsidR="0019572D">
        <w:t>.</w:t>
      </w:r>
    </w:p>
    <w:p w14:paraId="6E120E8A" w14:textId="30953BA1" w:rsidR="00FB2318" w:rsidRDefault="00FB2318" w:rsidP="004C7D09">
      <w:pPr>
        <w:pStyle w:val="TSNumberedParagraph11"/>
      </w:pPr>
      <w:r w:rsidRPr="00C27CCB">
        <w:t>FP.4 emphasis</w:t>
      </w:r>
      <w:r>
        <w:t>es</w:t>
      </w:r>
      <w:r w:rsidRPr="00C27CCB">
        <w:t xml:space="preserve"> the need for the </w:t>
      </w:r>
      <w:proofErr w:type="spellStart"/>
      <w:r w:rsidRPr="00C27CCB">
        <w:t>dutyholder</w:t>
      </w:r>
      <w:proofErr w:type="spellEnd"/>
      <w:r w:rsidRPr="00C27CCB">
        <w:t xml:space="preserve"> (i.e. licensee on nuclear licensed sites) to understand the hazards and their control, and to </w:t>
      </w:r>
      <w:r w:rsidR="00626183">
        <w:t>demonstrate such understanding.</w:t>
      </w:r>
      <w:r>
        <w:t xml:space="preserve"> </w:t>
      </w:r>
      <w:r w:rsidRPr="00C27CCB">
        <w:t xml:space="preserve">This includes evidence that the </w:t>
      </w:r>
      <w:proofErr w:type="spellStart"/>
      <w:r w:rsidRPr="00C27CCB">
        <w:t>dutyholder</w:t>
      </w:r>
      <w:proofErr w:type="spellEnd"/>
      <w:r w:rsidRPr="00C27CCB">
        <w:t xml:space="preserve"> is an ‘intelligent customer’ for any information supplied by another party which is relevant to a safety case.</w:t>
      </w:r>
      <w:r>
        <w:t xml:space="preserve"> </w:t>
      </w:r>
      <w:r w:rsidRPr="00C27CCB">
        <w:t>Guidance on ‘intelligent customer’ is given in</w:t>
      </w:r>
      <w:r>
        <w:t xml:space="preserve"> </w:t>
      </w:r>
      <w:r w:rsidRPr="00481C29">
        <w:t>NS-TAST-GD-049 Licensee Core and Intelligent Customer Capabilities</w:t>
      </w:r>
      <w:r>
        <w:t>.</w:t>
      </w:r>
    </w:p>
    <w:p w14:paraId="6E120E8B" w14:textId="77777777" w:rsidR="00FB2318" w:rsidRDefault="00A72557" w:rsidP="004C7D09">
      <w:pPr>
        <w:pStyle w:val="TSNumberedParagraph11"/>
      </w:pPr>
      <w:r>
        <w:t>In</w:t>
      </w:r>
      <w:r w:rsidR="00FB2318" w:rsidRPr="00C27CCB">
        <w:t xml:space="preserve"> order to demonstrate an effective understanding of the hazards of a facility and their control, </w:t>
      </w:r>
      <w:r w:rsidR="00FB2318">
        <w:t xml:space="preserve">and thus satisfy FP.4, </w:t>
      </w:r>
      <w:r w:rsidR="00FB2318" w:rsidRPr="00C27CCB">
        <w:t>the safety assessment in the safety case should include both deterministic and probabilistic analyses as complementary approaches to the demonstration of safety.</w:t>
      </w:r>
    </w:p>
    <w:p w14:paraId="6E120E8C" w14:textId="0C14F563" w:rsidR="00FB2318" w:rsidRDefault="00FB2318" w:rsidP="004C7D09">
      <w:pPr>
        <w:pStyle w:val="TSNumberedParagraph11"/>
      </w:pPr>
      <w:r w:rsidRPr="00C27CCB">
        <w:t>An apparent adherence to the quantitative risk criteria is not sufficient on its own to establish that a situation is acceptably safe.</w:t>
      </w:r>
      <w:r>
        <w:t xml:space="preserve"> </w:t>
      </w:r>
      <w:r w:rsidRPr="00C27CCB">
        <w:t>Similarly, cost/benefit analysis may help to support a case, but very careful scrutiny is needed if it is invoked to support non-adherence to well-established good practice. In general, probabilistic and cost/benefit arguments are easier to accept when the variation from current good practice is also evidently safer according to deterministic analysis. The Design Basis Analysis (DBA) would be used to guide the engineering requirements of the design.</w:t>
      </w:r>
      <w:r>
        <w:t xml:space="preserve"> </w:t>
      </w:r>
      <w:r w:rsidRPr="00C27CCB">
        <w:t>However, DBA may not be sufficient, on its own, to demonstrate the adequacy of the safety of a facility and should be complemented by suitabl</w:t>
      </w:r>
      <w:r>
        <w:t>e and sufficient Probabilistic Safety A</w:t>
      </w:r>
      <w:r w:rsidRPr="00C27CCB">
        <w:t xml:space="preserve">nalysis (PSA) and Severe Accident Analysis (SAA) to give a </w:t>
      </w:r>
      <w:r w:rsidR="00626183">
        <w:t xml:space="preserve">comprehensive demonstration of </w:t>
      </w:r>
      <w:r w:rsidRPr="00C27CCB">
        <w:t>facility</w:t>
      </w:r>
      <w:r w:rsidR="00204255">
        <w:t xml:space="preserve"> safety performance</w:t>
      </w:r>
      <w:r w:rsidRPr="00C27CCB">
        <w:t>. Further information can be found in</w:t>
      </w:r>
      <w:r>
        <w:t xml:space="preserve"> </w:t>
      </w:r>
      <w:r w:rsidRPr="000D2634">
        <w:t>NS-TAST-GD-051 The Purpose, Scope and Content of Nuclear Safety Cases.</w:t>
      </w:r>
      <w:r w:rsidRPr="00C27CCB">
        <w:t xml:space="preserve"> </w:t>
      </w:r>
    </w:p>
    <w:p w14:paraId="6E120E8D" w14:textId="77777777" w:rsidR="00FB2318" w:rsidRDefault="00FB2318" w:rsidP="004C7D09">
      <w:pPr>
        <w:pStyle w:val="TSNumberedParagraph11"/>
      </w:pPr>
      <w:r w:rsidRPr="00C27CCB">
        <w:t xml:space="preserve">In </w:t>
      </w:r>
      <w:r>
        <w:t>meeting</w:t>
      </w:r>
      <w:r w:rsidRPr="00C27CCB">
        <w:t xml:space="preserve"> FP5, IRR</w:t>
      </w:r>
      <w:r w:rsidR="006F317D">
        <w:t>17</w:t>
      </w:r>
      <w:r w:rsidRPr="00C27CCB">
        <w:t xml:space="preserve"> </w:t>
      </w:r>
      <w:r>
        <w:t>provide</w:t>
      </w:r>
      <w:r w:rsidR="00690CB3">
        <w:t>s</w:t>
      </w:r>
      <w:r>
        <w:t xml:space="preserve"> </w:t>
      </w:r>
      <w:r w:rsidRPr="00C27CCB">
        <w:t xml:space="preserve">statutory limits on radiation doses </w:t>
      </w:r>
      <w:r>
        <w:t xml:space="preserve">that </w:t>
      </w:r>
      <w:r w:rsidRPr="00C27CCB">
        <w:t>correspond to the upper limit in the three-zone approach to risk judgements as set out in The tolerability of risks from nuclear power stations (TOR)</w:t>
      </w:r>
      <w:r>
        <w:t xml:space="preserve"> </w:t>
      </w:r>
      <w:hyperlink w:anchor="ref12" w:history="1">
        <w:r w:rsidRPr="008306B7">
          <w:rPr>
            <w:rStyle w:val="Hyperlink"/>
            <w:vertAlign w:val="superscript"/>
          </w:rPr>
          <w:t>[1</w:t>
        </w:r>
        <w:r w:rsidR="00ED7706">
          <w:rPr>
            <w:rStyle w:val="Hyperlink"/>
            <w:vertAlign w:val="superscript"/>
          </w:rPr>
          <w:t>2</w:t>
        </w:r>
        <w:r w:rsidRPr="008306B7">
          <w:rPr>
            <w:rStyle w:val="Hyperlink"/>
            <w:vertAlign w:val="superscript"/>
          </w:rPr>
          <w:t>]</w:t>
        </w:r>
      </w:hyperlink>
      <w:r>
        <w:t xml:space="preserve"> </w:t>
      </w:r>
      <w:r w:rsidRPr="00C27CCB">
        <w:t xml:space="preserve">and R2P2 </w:t>
      </w:r>
      <w:hyperlink w:anchor="ref11" w:history="1">
        <w:r w:rsidRPr="008306B7">
          <w:rPr>
            <w:rStyle w:val="Hyperlink"/>
            <w:vertAlign w:val="superscript"/>
          </w:rPr>
          <w:t>[1</w:t>
        </w:r>
        <w:r w:rsidR="00ED7706">
          <w:rPr>
            <w:rStyle w:val="Hyperlink"/>
            <w:vertAlign w:val="superscript"/>
          </w:rPr>
          <w:t>1</w:t>
        </w:r>
        <w:r w:rsidRPr="008306B7">
          <w:rPr>
            <w:rStyle w:val="Hyperlink"/>
            <w:vertAlign w:val="superscript"/>
          </w:rPr>
          <w:t>]</w:t>
        </w:r>
      </w:hyperlink>
      <w:r>
        <w:t xml:space="preserve"> </w:t>
      </w:r>
      <w:r w:rsidRPr="00C27CCB">
        <w:t>(see SAPs paragraphs 9</w:t>
      </w:r>
      <w:r w:rsidR="00A72557">
        <w:t>-11</w:t>
      </w:r>
      <w:r w:rsidRPr="00C27CCB">
        <w:t>). FP.3 on ‘Optimisation of protection’ should be applied to reduce potential dose levels below the dose limits and to demonstrate ALARP. The SAPs section on Radiation Protection, and associated guidance, indicate what is expected for such optimisation.</w:t>
      </w:r>
    </w:p>
    <w:p w14:paraId="6E120E8E" w14:textId="77777777" w:rsidR="00FB2318" w:rsidRDefault="00FB2318" w:rsidP="004C7D09">
      <w:pPr>
        <w:pStyle w:val="TSNumberedParagraph11"/>
      </w:pPr>
      <w:r w:rsidRPr="00C27CCB">
        <w:t>In relation to FP.5 and FP.8 it should be noted that off-site doses from authorised disposals of radioactive waste from nuclear sites, including discharges to air and to bodies of water, are regulated by the Environment Agency (England)</w:t>
      </w:r>
      <w:r w:rsidR="00A72557">
        <w:t>, Natural Resources Wales (Wales)</w:t>
      </w:r>
      <w:r w:rsidRPr="00C27CCB">
        <w:t xml:space="preserve"> and Scottish Environment Protection Agency (Scotland).</w:t>
      </w:r>
      <w:r>
        <w:t xml:space="preserve"> </w:t>
      </w:r>
      <w:r w:rsidRPr="00C27CCB">
        <w:t>Appropriate liaison should b</w:t>
      </w:r>
      <w:r>
        <w:t>e done in accordance with HSE/ONR</w:t>
      </w:r>
      <w:r w:rsidRPr="00C27CCB">
        <w:t>’s memoranda of</w:t>
      </w:r>
      <w:r w:rsidR="00A72557">
        <w:t xml:space="preserve"> understanding with such bodies.</w:t>
      </w:r>
      <w:r w:rsidRPr="00C27CCB">
        <w:t xml:space="preserve"> </w:t>
      </w:r>
    </w:p>
    <w:p w14:paraId="6E120E8F" w14:textId="77777777" w:rsidR="00FB2318" w:rsidRDefault="00FB2318" w:rsidP="004C7D09">
      <w:pPr>
        <w:pStyle w:val="TSNumberedParagraph11"/>
      </w:pPr>
      <w:bookmarkStart w:id="13" w:name="OLE_LINK3"/>
      <w:bookmarkStart w:id="14" w:name="OLE_LINK4"/>
      <w:r>
        <w:t xml:space="preserve">To satisfy </w:t>
      </w:r>
      <w:r w:rsidRPr="00C27CCB">
        <w:t xml:space="preserve">FP.5, limitation of risks to individuals, the SAPs paragraphs </w:t>
      </w:r>
      <w:r w:rsidR="00A72557">
        <w:t>695-758</w:t>
      </w:r>
      <w:r w:rsidRPr="00C27CCB">
        <w:t xml:space="preserve"> contain several types of numerical dose and risk criteria, mostly expressed as ‘Basic Safety Levels’ (BSL) and ‘Basic safety Objectives’ (BSO) and presented as Targets rather than Principles.</w:t>
      </w:r>
      <w:r>
        <w:t xml:space="preserve"> </w:t>
      </w:r>
      <w:r w:rsidRPr="00C27CCB">
        <w:t>Where the ‘levels’ are IRR</w:t>
      </w:r>
      <w:r w:rsidR="006F317D">
        <w:t>17</w:t>
      </w:r>
      <w:r w:rsidRPr="00C27CCB">
        <w:t xml:space="preserve"> statutory limits on doses to the workforce and the public they are designated ‘Legal Limits’ (LL). Dose limits and risk targets at the BSL/LL </w:t>
      </w:r>
      <w:r>
        <w:t>level</w:t>
      </w:r>
      <w:r w:rsidRPr="00C27CCB">
        <w:t xml:space="preserve"> represent an upper bound that </w:t>
      </w:r>
      <w:r w:rsidR="00880761">
        <w:t>ONR</w:t>
      </w:r>
      <w:r w:rsidRPr="00C27CCB">
        <w:t xml:space="preserve"> expects a new facility or activity to meet. However, they are insufficient in themselves to ensure the best reasonably practicable protection in any given circumstances. They therefore need to be complemented by optimisation of protection as required by FP.3. Thus both limitation of dose and optimisation of dose below that limit, for normal operations, are necessary to achieve the </w:t>
      </w:r>
      <w:r w:rsidR="00880761">
        <w:t xml:space="preserve">required </w:t>
      </w:r>
      <w:r w:rsidRPr="00C27CCB">
        <w:t>level of safety.</w:t>
      </w:r>
    </w:p>
    <w:p w14:paraId="6E120E90" w14:textId="77777777" w:rsidR="00FB2318" w:rsidRDefault="00FB2318" w:rsidP="004C7D09">
      <w:pPr>
        <w:pStyle w:val="TSNumberedParagraph11"/>
      </w:pPr>
      <w:r w:rsidRPr="00C27CCB">
        <w:t>Principle FP.6 addresses both accident prevention and mitigation. Mitigation is regarded as the last level of defence</w:t>
      </w:r>
      <w:r w:rsidR="00880761">
        <w:t>-</w:t>
      </w:r>
      <w:r w:rsidRPr="00C27CCB">
        <w:t>in</w:t>
      </w:r>
      <w:r w:rsidR="00880761">
        <w:t>-</w:t>
      </w:r>
      <w:r w:rsidRPr="00C27CCB">
        <w:t>depth, discussed in ‘engineering princip</w:t>
      </w:r>
      <w:r w:rsidR="00A72557">
        <w:t>les: key principles Defence in d</w:t>
      </w:r>
      <w:r w:rsidRPr="00C27CCB">
        <w:t>epth, EKP.3’ of the SAPs; but it should not be invoked to justify a relaxation or reduced benefit from earlier levels. The safety assessment (FP.4) should include analysis of potential accidents to indicate a basis for the planning of accident management and emergency response (FP.7).</w:t>
      </w:r>
    </w:p>
    <w:p w14:paraId="6E120E91" w14:textId="77777777" w:rsidR="00FB2318" w:rsidRDefault="00FB2318" w:rsidP="004C7D09">
      <w:pPr>
        <w:pStyle w:val="TSNumberedParagraph11"/>
      </w:pPr>
      <w:r>
        <w:t xml:space="preserve">In respect of FP.7, the assessor is referred to SAPs </w:t>
      </w:r>
      <w:r w:rsidR="005041F9">
        <w:t xml:space="preserve">paragraphs 768ff </w:t>
      </w:r>
      <w:r>
        <w:t xml:space="preserve">and principle AM.1 </w:t>
      </w:r>
      <w:r w:rsidR="00880761">
        <w:t xml:space="preserve">together </w:t>
      </w:r>
      <w:r>
        <w:t>with its supporting paragraphs. Generally speaking the arrangements required by FP.7 are addressed through various licence conditions, especially LC11.</w:t>
      </w:r>
    </w:p>
    <w:p w14:paraId="6E120E92" w14:textId="77777777" w:rsidR="00FB2318" w:rsidRDefault="00FB2318" w:rsidP="004C7D09">
      <w:pPr>
        <w:pStyle w:val="TSNumberedParagraph11"/>
      </w:pPr>
      <w:r>
        <w:t xml:space="preserve">Relevant to </w:t>
      </w:r>
      <w:r w:rsidRPr="00C27CCB">
        <w:t xml:space="preserve">FP.8 </w:t>
      </w:r>
      <w:r>
        <w:t xml:space="preserve">are </w:t>
      </w:r>
      <w:r w:rsidRPr="00C27CCB">
        <w:t xml:space="preserve">the criteria in SAPs paragraphs </w:t>
      </w:r>
      <w:r w:rsidR="005041F9">
        <w:t>712-758</w:t>
      </w:r>
      <w:r w:rsidRPr="00C27CCB">
        <w:t xml:space="preserve"> relating to accidents </w:t>
      </w:r>
      <w:r>
        <w:t xml:space="preserve">which </w:t>
      </w:r>
      <w:r w:rsidRPr="00C27CCB">
        <w:t>include</w:t>
      </w:r>
      <w:r>
        <w:t>s</w:t>
      </w:r>
      <w:r w:rsidR="005041F9">
        <w:t xml:space="preserve"> in paragraph 756</w:t>
      </w:r>
      <w:r w:rsidRPr="00C27CCB">
        <w:t>, that stochastic health effects from long-term doses should be integrated up to a time of 100 years and be restricted to the UK population.</w:t>
      </w:r>
      <w:r>
        <w:t xml:space="preserve"> </w:t>
      </w:r>
      <w:r w:rsidRPr="00C27CCB">
        <w:t xml:space="preserve">The SAPs on radwaste, decommissioning and contaminated land </w:t>
      </w:r>
      <w:r>
        <w:t xml:space="preserve">are </w:t>
      </w:r>
      <w:r w:rsidRPr="00C27CCB">
        <w:t>also rel</w:t>
      </w:r>
      <w:r>
        <w:t>ev</w:t>
      </w:r>
      <w:r w:rsidRPr="00C27CCB">
        <w:t>a</w:t>
      </w:r>
      <w:r>
        <w:t>nt</w:t>
      </w:r>
      <w:r w:rsidRPr="00C27CCB">
        <w:t xml:space="preserve"> to </w:t>
      </w:r>
      <w:r>
        <w:t xml:space="preserve">the </w:t>
      </w:r>
      <w:r w:rsidRPr="00C27CCB">
        <w:t>long-term protection of people.</w:t>
      </w:r>
    </w:p>
    <w:p w14:paraId="6E120E93" w14:textId="77777777" w:rsidR="00FB2318" w:rsidRPr="00C27CCB" w:rsidRDefault="00FB2318" w:rsidP="004C7D09">
      <w:pPr>
        <w:pStyle w:val="TSNumberedParagraph11"/>
      </w:pPr>
      <w:r w:rsidRPr="00C27CCB">
        <w:t>The other SAPs are aimed at ensuring that the fundamental principles are satisfied.</w:t>
      </w:r>
      <w:r>
        <w:t xml:space="preserve"> </w:t>
      </w:r>
      <w:r w:rsidRPr="00C27CCB">
        <w:t xml:space="preserve">If it is judged </w:t>
      </w:r>
      <w:r w:rsidR="00880761">
        <w:t xml:space="preserve">that </w:t>
      </w:r>
      <w:r w:rsidRPr="00C27CCB">
        <w:t>the totality of SAPs relevant to a particular installation have been met, this should be sufficient to satisfy inspectors that the installation meets the fundamental principles.</w:t>
      </w:r>
      <w:r>
        <w:t xml:space="preserve"> </w:t>
      </w:r>
      <w:r w:rsidRPr="00C27CCB">
        <w:t>For example, if a plant is adequately robust (that is</w:t>
      </w:r>
      <w:r w:rsidR="00880761">
        <w:t>,</w:t>
      </w:r>
      <w:r w:rsidRPr="00C27CCB">
        <w:t xml:space="preserve"> the technical principles are satisfied </w:t>
      </w:r>
      <w:r w:rsidR="005041F9">
        <w:t>SFAIRP</w:t>
      </w:r>
      <w:r w:rsidRPr="00C27CCB">
        <w:t xml:space="preserve">, so giving suitable and sufficient defence in depth) and if the plant is operated safely (that is, in accordance with the FP.2 requirements plus the site licence requirements) then the ‘accident prevention’ part of FP.6 is deemed to </w:t>
      </w:r>
      <w:r w:rsidR="00211A58">
        <w:t xml:space="preserve">have been </w:t>
      </w:r>
      <w:r w:rsidRPr="00C27CCB">
        <w:t>satisfied.</w:t>
      </w:r>
    </w:p>
    <w:p w14:paraId="6E120E94" w14:textId="77777777" w:rsidR="00FB2318" w:rsidRPr="005B5956" w:rsidRDefault="00FB2318" w:rsidP="00F23C57">
      <w:pPr>
        <w:pStyle w:val="TSHeadingNumbered1"/>
        <w:rPr>
          <w:lang w:val="en"/>
        </w:rPr>
      </w:pPr>
      <w:bookmarkStart w:id="15" w:name="_Toc333926908"/>
      <w:bookmarkStart w:id="16" w:name="_Toc353875200"/>
      <w:bookmarkStart w:id="17" w:name="_Toc5280395"/>
      <w:bookmarkEnd w:id="13"/>
      <w:bookmarkEnd w:id="14"/>
      <w:r w:rsidRPr="005B5956">
        <w:rPr>
          <w:rStyle w:val="Strong"/>
          <w:b/>
          <w:sz w:val="24"/>
          <w:lang w:val="en"/>
        </w:rPr>
        <w:t>References</w:t>
      </w:r>
      <w:bookmarkEnd w:id="15"/>
      <w:bookmarkEnd w:id="16"/>
      <w:bookmarkEnd w:id="17"/>
    </w:p>
    <w:p w14:paraId="6E120E95" w14:textId="4C762F74" w:rsidR="00892D28" w:rsidRDefault="00FB2318" w:rsidP="004C7D09">
      <w:pPr>
        <w:spacing w:after="120"/>
        <w:ind w:left="709"/>
      </w:pPr>
      <w:bookmarkStart w:id="18" w:name="ref1"/>
      <w:r>
        <w:t xml:space="preserve">1. </w:t>
      </w:r>
      <w:r w:rsidRPr="00C27CCB">
        <w:t xml:space="preserve">Safety Assessment Principles for Nuclear Facilities, </w:t>
      </w:r>
      <w:r w:rsidR="009276C0" w:rsidRPr="00C27CCB">
        <w:t>20</w:t>
      </w:r>
      <w:r w:rsidR="009276C0">
        <w:t>14</w:t>
      </w:r>
      <w:r w:rsidR="009276C0" w:rsidRPr="00C27CCB">
        <w:t xml:space="preserve"> </w:t>
      </w:r>
      <w:r w:rsidRPr="00C27CCB">
        <w:t xml:space="preserve">Edition </w:t>
      </w:r>
      <w:r>
        <w:t>Revision</w:t>
      </w:r>
      <w:r w:rsidRPr="00C27CCB">
        <w:t xml:space="preserve"> </w:t>
      </w:r>
      <w:r w:rsidR="009276C0">
        <w:t>0</w:t>
      </w:r>
      <w:r w:rsidRPr="00C27CCB">
        <w:t xml:space="preserve">, </w:t>
      </w:r>
      <w:bookmarkEnd w:id="18"/>
      <w:r w:rsidR="00BF0793" w:rsidRPr="000D2634">
        <w:t>http://www.onr.org.uk/saps/saps2014.pdf</w:t>
      </w:r>
      <w:r w:rsidR="00BF0793">
        <w:t xml:space="preserve"> </w:t>
      </w:r>
    </w:p>
    <w:p w14:paraId="6E120E96" w14:textId="77777777" w:rsidR="00FB2318" w:rsidRPr="00C27CCB" w:rsidRDefault="00FB2318" w:rsidP="004C7D09">
      <w:pPr>
        <w:spacing w:after="120"/>
        <w:ind w:left="709"/>
      </w:pPr>
      <w:bookmarkStart w:id="19" w:name="ref2"/>
      <w:r>
        <w:t xml:space="preserve">2. </w:t>
      </w:r>
      <w:r w:rsidRPr="00C27CCB">
        <w:t xml:space="preserve">The Health and Safety at Work </w:t>
      </w:r>
      <w:r w:rsidR="005041F9">
        <w:t xml:space="preserve">etc. </w:t>
      </w:r>
      <w:r w:rsidRPr="00C27CCB">
        <w:t>Act 1974.</w:t>
      </w:r>
    </w:p>
    <w:bookmarkEnd w:id="19"/>
    <w:p w14:paraId="6E120E97" w14:textId="77777777" w:rsidR="00FB2318" w:rsidRPr="00C27CCB" w:rsidRDefault="00470182" w:rsidP="004C7D09">
      <w:pPr>
        <w:spacing w:after="120"/>
        <w:ind w:left="709"/>
      </w:pPr>
      <w:r>
        <w:t>3</w:t>
      </w:r>
      <w:r w:rsidR="00FB2318">
        <w:t xml:space="preserve">. </w:t>
      </w:r>
      <w:bookmarkStart w:id="20" w:name="ref3"/>
      <w:bookmarkEnd w:id="20"/>
      <w:r w:rsidR="00FB2318" w:rsidRPr="00C27CCB">
        <w:t xml:space="preserve">The Ionising Radiations Regulations </w:t>
      </w:r>
      <w:r w:rsidR="00CF07C7">
        <w:t>2017</w:t>
      </w:r>
      <w:r w:rsidR="00FB2318" w:rsidRPr="00C27CCB">
        <w:t xml:space="preserve">, The Stationery Office, </w:t>
      </w:r>
      <w:r w:rsidR="00CF07C7">
        <w:t>2017</w:t>
      </w:r>
      <w:r w:rsidR="00FB2318" w:rsidRPr="00C27CCB">
        <w:t xml:space="preserve">. </w:t>
      </w:r>
    </w:p>
    <w:p w14:paraId="6E120E98" w14:textId="77777777" w:rsidR="005041F9" w:rsidRPr="00C27CCB" w:rsidRDefault="00470182" w:rsidP="005041F9">
      <w:pPr>
        <w:spacing w:after="120"/>
        <w:ind w:left="709"/>
      </w:pPr>
      <w:r>
        <w:t>4</w:t>
      </w:r>
      <w:r w:rsidR="00FB2318">
        <w:t xml:space="preserve">. </w:t>
      </w:r>
      <w:bookmarkStart w:id="21" w:name="ref4"/>
      <w:bookmarkEnd w:id="21"/>
      <w:r w:rsidR="00FB2318" w:rsidRPr="00C27CCB">
        <w:t>Work with Ionising Radiation, Approved Code of Practice, L121, HSE Books 20</w:t>
      </w:r>
      <w:r w:rsidR="00CF07C7">
        <w:t>18</w:t>
      </w:r>
      <w:r w:rsidR="00FB2318" w:rsidRPr="00C27CCB">
        <w:t>.</w:t>
      </w:r>
    </w:p>
    <w:p w14:paraId="6E120E99" w14:textId="77777777" w:rsidR="00FB2318" w:rsidRPr="00C27CCB" w:rsidRDefault="00470182" w:rsidP="004C7D09">
      <w:pPr>
        <w:spacing w:after="120"/>
        <w:ind w:left="709"/>
      </w:pPr>
      <w:bookmarkStart w:id="22" w:name="ref5"/>
      <w:r>
        <w:t>5</w:t>
      </w:r>
      <w:r w:rsidR="00FB2318">
        <w:t>.</w:t>
      </w:r>
      <w:bookmarkEnd w:id="22"/>
      <w:r w:rsidR="00FB2318">
        <w:t xml:space="preserve"> </w:t>
      </w:r>
      <w:hyperlink r:id="rId21" w:history="1">
        <w:r w:rsidR="00FB2318" w:rsidRPr="00884B1B">
          <w:rPr>
            <w:rStyle w:val="Hyperlink"/>
          </w:rPr>
          <w:t>Management of Health and Safety at Work Regulations 1999.</w:t>
        </w:r>
      </w:hyperlink>
    </w:p>
    <w:p w14:paraId="6E120E9A" w14:textId="77777777" w:rsidR="00FB2318" w:rsidRDefault="00470182" w:rsidP="004C7D09">
      <w:pPr>
        <w:spacing w:after="120"/>
        <w:ind w:left="709"/>
      </w:pPr>
      <w:r>
        <w:t>6</w:t>
      </w:r>
      <w:r w:rsidR="00FB2318">
        <w:t xml:space="preserve">. </w:t>
      </w:r>
      <w:bookmarkStart w:id="23" w:name="ref6"/>
      <w:bookmarkEnd w:id="23"/>
      <w:r w:rsidR="00FB2318" w:rsidRPr="00C27CCB">
        <w:t>A guide to the Radiation (Emergency Preparedness and Public Information) Regulations 2001, L126</w:t>
      </w:r>
      <w:r w:rsidR="005041F9">
        <w:t>,</w:t>
      </w:r>
      <w:r w:rsidR="00FB2318" w:rsidRPr="00C27CCB">
        <w:t xml:space="preserve"> ISBN 0 7176 2240 1.</w:t>
      </w:r>
    </w:p>
    <w:p w14:paraId="6E120E9B" w14:textId="77777777" w:rsidR="00470182" w:rsidRDefault="00470182" w:rsidP="004C7D09">
      <w:pPr>
        <w:spacing w:after="120"/>
        <w:ind w:left="709"/>
      </w:pPr>
      <w:r>
        <w:t xml:space="preserve">7. </w:t>
      </w:r>
      <w:bookmarkStart w:id="24" w:name="ref7"/>
      <w:bookmarkEnd w:id="24"/>
      <w:r w:rsidR="002364EB">
        <w:fldChar w:fldCharType="begin"/>
      </w:r>
      <w:r w:rsidR="002364EB">
        <w:instrText xml:space="preserve"> HYPERLINK "http://services.parliament.uk/bills/2012-13/energy.html" </w:instrText>
      </w:r>
      <w:r w:rsidR="002364EB">
        <w:fldChar w:fldCharType="separate"/>
      </w:r>
      <w:r w:rsidR="002364EB" w:rsidRPr="00BB78FC">
        <w:rPr>
          <w:rStyle w:val="Hyperlink"/>
        </w:rPr>
        <w:t>The Energy Act 2013 (</w:t>
      </w:r>
      <w:r w:rsidR="00754C4F">
        <w:rPr>
          <w:rStyle w:val="Hyperlink"/>
        </w:rPr>
        <w:t>T</w:t>
      </w:r>
      <w:r w:rsidR="002364EB" w:rsidRPr="00BB78FC">
        <w:rPr>
          <w:rStyle w:val="Hyperlink"/>
        </w:rPr>
        <w:t>EA)</w:t>
      </w:r>
      <w:r w:rsidR="002364EB">
        <w:rPr>
          <w:rStyle w:val="Hyperlink"/>
        </w:rPr>
        <w:fldChar w:fldCharType="end"/>
      </w:r>
    </w:p>
    <w:p w14:paraId="6E120E9C" w14:textId="77777777" w:rsidR="00470182" w:rsidRPr="00C27CCB" w:rsidRDefault="00470182" w:rsidP="004C7D09">
      <w:pPr>
        <w:spacing w:after="120"/>
        <w:ind w:left="709"/>
      </w:pPr>
      <w:r>
        <w:t xml:space="preserve">8. </w:t>
      </w:r>
      <w:bookmarkStart w:id="25" w:name="ref8"/>
      <w:bookmarkEnd w:id="25"/>
      <w:r w:rsidRPr="00C27CCB">
        <w:t>The Nuclear Installations Act 1965 (as amended).</w:t>
      </w:r>
    </w:p>
    <w:p w14:paraId="6E120E9D" w14:textId="5352402F" w:rsidR="00626183" w:rsidRDefault="00470182" w:rsidP="004C7D09">
      <w:pPr>
        <w:spacing w:after="120"/>
        <w:ind w:left="709"/>
        <w:rPr>
          <w:rStyle w:val="Hyperlink"/>
          <w:u w:val="none"/>
        </w:rPr>
      </w:pPr>
      <w:r>
        <w:t>9</w:t>
      </w:r>
      <w:r w:rsidR="00FB2318">
        <w:t xml:space="preserve">. </w:t>
      </w:r>
      <w:bookmarkStart w:id="26" w:name="ref9"/>
      <w:bookmarkEnd w:id="26"/>
      <w:r w:rsidR="00FB2318" w:rsidRPr="00C27CCB">
        <w:t xml:space="preserve">Western European </w:t>
      </w:r>
      <w:r w:rsidR="00FB2318">
        <w:t>Nuclear Regulators’ Association</w:t>
      </w:r>
      <w:r w:rsidR="005B1360">
        <w:t xml:space="preserve"> (WENRA) - </w:t>
      </w:r>
      <w:r w:rsidR="00FB2318" w:rsidRPr="00C27CCB">
        <w:t xml:space="preserve">Reactor </w:t>
      </w:r>
      <w:r w:rsidR="00FB2318">
        <w:t xml:space="preserve">Harmonisation Working Group: Reactor </w:t>
      </w:r>
      <w:r w:rsidR="00FB2318" w:rsidRPr="00C27CCB">
        <w:t xml:space="preserve">Safety Reference Levels. </w:t>
      </w:r>
      <w:r w:rsidR="00D44BB7">
        <w:t>September 2014</w:t>
      </w:r>
      <w:r w:rsidR="00D44BB7" w:rsidRPr="00D44BB7">
        <w:t xml:space="preserve"> </w:t>
      </w:r>
      <w:r w:rsidR="00D44BB7" w:rsidRPr="00103C03">
        <w:t>http://www.wenra.org/media/filer_public/2014/09/19/wenra_safety_reference_level_for_existing_reactors_september_2014.pdf</w:t>
      </w:r>
    </w:p>
    <w:p w14:paraId="6E120E9E" w14:textId="77777777" w:rsidR="00FB2318" w:rsidRPr="00C27CCB" w:rsidRDefault="005B1360" w:rsidP="004C7D09">
      <w:pPr>
        <w:spacing w:after="120"/>
        <w:ind w:left="709"/>
      </w:pPr>
      <w:r w:rsidRPr="00626183">
        <w:t>and</w:t>
      </w:r>
      <w:r w:rsidR="00FB2318">
        <w:t xml:space="preserve"> Working Group on Waste and Decommissioning: Waste and Spent Fuel Storage Safety Reference Levels Report, Version </w:t>
      </w:r>
      <w:r w:rsidR="009276C0">
        <w:t>2.2 April 2014</w:t>
      </w:r>
      <w:r w:rsidR="00626183">
        <w:t xml:space="preserve"> </w:t>
      </w:r>
      <w:hyperlink r:id="rId22" w:history="1">
        <w:r w:rsidR="009276C0" w:rsidRPr="00E54AAD">
          <w:rPr>
            <w:rStyle w:val="Hyperlink"/>
          </w:rPr>
          <w:t>http://www.wenra.org/media/filer_public/2014/05/08/wgwd_storage_report_final.pdf</w:t>
        </w:r>
      </w:hyperlink>
    </w:p>
    <w:p w14:paraId="6E120E9F" w14:textId="77777777" w:rsidR="00FB2318" w:rsidRDefault="00470182" w:rsidP="004C7D09">
      <w:pPr>
        <w:spacing w:after="120"/>
        <w:ind w:left="709"/>
      </w:pPr>
      <w:r>
        <w:t>10</w:t>
      </w:r>
      <w:r w:rsidR="00FB2318">
        <w:t>.</w:t>
      </w:r>
      <w:bookmarkStart w:id="27" w:name="ref10"/>
      <w:bookmarkEnd w:id="27"/>
      <w:r w:rsidR="00FB2318">
        <w:t xml:space="preserve"> </w:t>
      </w:r>
      <w:r w:rsidR="00FB2318" w:rsidRPr="00C27CCB">
        <w:t xml:space="preserve">IAEA Safety Standards, </w:t>
      </w:r>
      <w:r w:rsidR="005041F9">
        <w:t>Fundamental Safety Principles, Safety F</w:t>
      </w:r>
      <w:r w:rsidR="00FB2318" w:rsidRPr="00C27CCB">
        <w:t>undamentals No</w:t>
      </w:r>
      <w:r w:rsidR="005041F9">
        <w:t>.</w:t>
      </w:r>
      <w:r w:rsidR="00FB2318" w:rsidRPr="00C27CCB">
        <w:t xml:space="preserve"> SF-1.</w:t>
      </w:r>
      <w:r w:rsidR="009276C0" w:rsidRPr="009276C0">
        <w:t xml:space="preserve"> </w:t>
      </w:r>
      <w:hyperlink r:id="rId23" w:history="1">
        <w:r w:rsidR="009276C0" w:rsidRPr="00E54AAD">
          <w:rPr>
            <w:rStyle w:val="Hyperlink"/>
          </w:rPr>
          <w:t>http://www-pub.iaea.org/MTCD/Publications/PDF/Pub1273_web.pdf</w:t>
        </w:r>
      </w:hyperlink>
    </w:p>
    <w:p w14:paraId="6E120EA0" w14:textId="77777777" w:rsidR="00FB2318" w:rsidRDefault="00FB2318" w:rsidP="004C7D09">
      <w:pPr>
        <w:spacing w:after="120"/>
        <w:ind w:left="709"/>
      </w:pPr>
      <w:bookmarkStart w:id="28" w:name="ref11"/>
      <w:bookmarkEnd w:id="28"/>
      <w:r>
        <w:t>1</w:t>
      </w:r>
      <w:r w:rsidR="00ED7706">
        <w:t>1</w:t>
      </w:r>
      <w:r>
        <w:t xml:space="preserve">. </w:t>
      </w:r>
      <w:hyperlink r:id="rId24" w:history="1">
        <w:r w:rsidRPr="0090639A">
          <w:rPr>
            <w:rStyle w:val="Hyperlink"/>
          </w:rPr>
          <w:t xml:space="preserve">Reducing risks, protecting people: HSE’s decision making process, HSE Books 2001, </w:t>
        </w:r>
        <w:r w:rsidR="005041F9">
          <w:rPr>
            <w:rStyle w:val="Hyperlink"/>
          </w:rPr>
          <w:t>ISBN 0 7176 2151 0, Web version.</w:t>
        </w:r>
        <w:r w:rsidRPr="0090639A">
          <w:rPr>
            <w:rStyle w:val="Hyperlink"/>
          </w:rPr>
          <w:t xml:space="preserve"> </w:t>
        </w:r>
      </w:hyperlink>
    </w:p>
    <w:p w14:paraId="6E120EA1" w14:textId="77777777" w:rsidR="00ED7706" w:rsidRDefault="00ED7706" w:rsidP="00ED7706">
      <w:pPr>
        <w:spacing w:after="120"/>
        <w:ind w:left="709"/>
      </w:pPr>
      <w:bookmarkStart w:id="29" w:name="ref12"/>
      <w:bookmarkEnd w:id="29"/>
      <w:r>
        <w:t>12. The tolerability of risk from nuclear power stations, The Stationery Office 1992, I</w:t>
      </w:r>
      <w:r w:rsidR="005041F9">
        <w:t>SBN 0 11 886368 1 Web version.</w:t>
      </w:r>
    </w:p>
    <w:p w14:paraId="6E120EA2" w14:textId="77777777" w:rsidR="00ED7706" w:rsidRDefault="00ED7706" w:rsidP="004C7D09">
      <w:pPr>
        <w:spacing w:after="120"/>
        <w:ind w:left="709"/>
      </w:pPr>
    </w:p>
    <w:p w14:paraId="6E120EA3" w14:textId="77777777" w:rsidR="00F23C57" w:rsidRPr="00C27CCB" w:rsidRDefault="00F23C57" w:rsidP="004C7D09">
      <w:pPr>
        <w:spacing w:after="120"/>
        <w:ind w:left="709"/>
      </w:pPr>
    </w:p>
    <w:p w14:paraId="6E120EA4" w14:textId="77777777" w:rsidR="00FB2318" w:rsidRPr="002E5D5E" w:rsidRDefault="00FB2318" w:rsidP="00FB2318">
      <w:pPr>
        <w:pStyle w:val="NumberedHeading"/>
        <w:numPr>
          <w:ilvl w:val="0"/>
          <w:numId w:val="0"/>
        </w:numPr>
        <w:ind w:left="709"/>
      </w:pPr>
    </w:p>
    <w:p w14:paraId="6E120EA5" w14:textId="77777777" w:rsidR="00FB2318" w:rsidRDefault="00FB2318" w:rsidP="00FB2318"/>
    <w:p w14:paraId="6E120EA6" w14:textId="77777777" w:rsidR="00FB2318" w:rsidRDefault="00FB2318" w:rsidP="004C7D09">
      <w:pPr>
        <w:pStyle w:val="TSHeadingNumbered1"/>
        <w:numPr>
          <w:ilvl w:val="0"/>
          <w:numId w:val="0"/>
        </w:numPr>
      </w:pPr>
    </w:p>
    <w:sectPr w:rsidR="00FB2318" w:rsidSect="00EA5EB4">
      <w:type w:val="continuous"/>
      <w:pgSz w:w="11906" w:h="16838" w:code="9"/>
      <w:pgMar w:top="1134" w:right="1134" w:bottom="1134" w:left="1588" w:header="431"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074">
      <wne:acd wne:acdName="acd0"/>
    </wne:keymap>
    <wne:keymap wne:kcmPrimary="0075">
      <wne:acd wne:acdName="acd1"/>
    </wne:keymap>
    <wne:keymap wne:kcmPrimary="0076">
      <wne:acd wne:acdName="acd2"/>
    </wne:keymap>
    <wne:keymap wne:kcmPrimary="0077">
      <wne:acd wne:acdName="acd3"/>
    </wne:keymap>
    <wne:keymap wne:kcmPrimary="0078">
      <wne:acd wne:acdName="acd4"/>
    </wne:keymap>
    <wne:keymap wne:kcmPrimary="0079">
      <wne:acd wne:acdName="acd5"/>
    </wne:keymap>
    <wne:keymap wne:kcmPrimary="007A">
      <wne:acd wne:acdName="acd6"/>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UAFMAIABIAGUAYQBkAGkAbgBnACAATgB1AG0AYgBlAHIAZQBkACAAMQA=" wne:acdName="acd0" wne:fciIndexBasedOn="0065"/>
    <wne:acd wne:argValue="AgBUAFMAIABIAGUAYQBkAGkAbgBnACAATgB1AG0AYgBlAHIAZQBkACAAMQAuADEA" wne:acdName="acd1" wne:fciIndexBasedOn="0065"/>
    <wne:acd wne:argValue="AgBUAFMAIABIAGUAYQBkAGkAbgBnACAATgB1AG0AYgBlAHIAZQBkACAAMQAuADEALgAxAA==" wne:acdName="acd2" wne:fciIndexBasedOn="0065"/>
    <wne:acd wne:argValue="AgBUAFMAIABIAGUAYQBkAGkAbgBnACAATgB1AG0AYgBlAHIAZQBkACAAMQAuADEALgAxAC4AMQA=" wne:acdName="acd3" wne:fciIndexBasedOn="0065"/>
    <wne:acd wne:argValue="AgBUAFMAIABOAHUAbQBiAGUAcgBlAGQAIABQAGEAcgBhAGcAcgBhAHAAaAAgADEALgAxAA==" wne:acdName="acd4" wne:fciIndexBasedOn="0065"/>
    <wne:acd wne:argValue="AgBUAFMAIABCAHUAbABsAGUAdAAgADEAIABTAHEAdQBhAHIAZQA=" wne:acdName="acd5" wne:fciIndexBasedOn="0065"/>
    <wne:acd wne:argValue="AgBUAFMAIABCAHUAbABsAGUAdAAgADIAIABDAGkAcgBjAGwAZQ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F4568" w14:textId="77777777" w:rsidR="00094D61" w:rsidRDefault="00094D61">
      <w:r>
        <w:separator/>
      </w:r>
    </w:p>
  </w:endnote>
  <w:endnote w:type="continuationSeparator" w:id="0">
    <w:p w14:paraId="55987B6B" w14:textId="77777777" w:rsidR="00094D61" w:rsidRDefault="0009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091A1" w14:textId="77777777" w:rsidR="00E9465F" w:rsidRDefault="00E946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0EB0" w14:textId="77777777" w:rsidR="00FB2318" w:rsidRDefault="00FB2318" w:rsidP="00FD170B">
    <w:pPr>
      <w:pStyle w:val="Header"/>
      <w:jc w:val="center"/>
      <w:rPr>
        <w:b/>
        <w:color w:val="006D68"/>
        <w:sz w:val="14"/>
        <w:szCs w:val="14"/>
      </w:rPr>
    </w:pPr>
  </w:p>
  <w:p w14:paraId="6E120EB1" w14:textId="77777777" w:rsidR="00FB2318" w:rsidRDefault="00FB2318" w:rsidP="00985E68">
    <w:pPr>
      <w:pStyle w:val="Header"/>
      <w:jc w:val="center"/>
      <w:rPr>
        <w:b/>
        <w:color w:val="006D68"/>
        <w:sz w:val="14"/>
        <w:szCs w:val="14"/>
      </w:rPr>
    </w:pPr>
  </w:p>
  <w:p w14:paraId="6E120EB2" w14:textId="77777777" w:rsidR="00FB2318" w:rsidRDefault="00FB2318" w:rsidP="00985E68">
    <w:pPr>
      <w:pStyle w:val="Footer"/>
      <w:tabs>
        <w:tab w:val="clear" w:pos="4153"/>
        <w:tab w:val="clear" w:pos="8306"/>
        <w:tab w:val="right" w:pos="9214"/>
      </w:tabs>
      <w:jc w:val="center"/>
      <w:rPr>
        <w:color w:val="006D68"/>
        <w:sz w:val="14"/>
        <w:szCs w:val="14"/>
      </w:rPr>
    </w:pPr>
  </w:p>
  <w:p w14:paraId="6E120EB3" w14:textId="77777777" w:rsidR="00FB2318" w:rsidRPr="00FD170B" w:rsidRDefault="00B80AB7" w:rsidP="00487A22">
    <w:pPr>
      <w:pStyle w:val="Footer"/>
      <w:tabs>
        <w:tab w:val="clear" w:pos="4153"/>
        <w:tab w:val="clear" w:pos="8306"/>
        <w:tab w:val="right" w:pos="9214"/>
      </w:tabs>
      <w:rPr>
        <w:color w:val="006D68"/>
        <w:sz w:val="14"/>
        <w:szCs w:val="14"/>
        <w:lang w:val="fr-FR"/>
      </w:rPr>
    </w:pPr>
    <w:r>
      <w:rPr>
        <w:color w:val="006D68"/>
        <w:sz w:val="14"/>
        <w:szCs w:val="14"/>
        <w:lang w:val="fr-FR"/>
      </w:rPr>
      <w:t xml:space="preserve">Report : </w:t>
    </w:r>
    <w:r w:rsidR="004C7D09">
      <w:rPr>
        <w:color w:val="006D68"/>
        <w:sz w:val="14"/>
        <w:szCs w:val="14"/>
        <w:lang w:val="fr-FR"/>
      </w:rPr>
      <w:t>NS-TAST-GD-004</w:t>
    </w:r>
  </w:p>
  <w:p w14:paraId="6E120EB4" w14:textId="77777777" w:rsidR="00FB2318" w:rsidRPr="00487A22" w:rsidRDefault="00996D25" w:rsidP="00487A22">
    <w:pPr>
      <w:pStyle w:val="Footer"/>
      <w:tabs>
        <w:tab w:val="clear" w:pos="4153"/>
        <w:tab w:val="clear" w:pos="8306"/>
        <w:tab w:val="right" w:pos="9214"/>
      </w:tabs>
      <w:rPr>
        <w:b/>
        <w:color w:val="006D68"/>
        <w:sz w:val="14"/>
        <w:szCs w:val="14"/>
      </w:rPr>
    </w:pPr>
    <w:r>
      <w:rPr>
        <w:color w:val="006D68"/>
        <w:sz w:val="14"/>
        <w:szCs w:val="14"/>
        <w:lang w:val="fr-FR"/>
      </w:rPr>
      <w:t xml:space="preserve">TRIM </w:t>
    </w:r>
    <w:proofErr w:type="spellStart"/>
    <w:r>
      <w:rPr>
        <w:color w:val="006D68"/>
        <w:sz w:val="14"/>
        <w:szCs w:val="14"/>
        <w:lang w:val="fr-FR"/>
      </w:rPr>
      <w:t>Ref</w:t>
    </w:r>
    <w:proofErr w:type="spellEnd"/>
    <w:r>
      <w:rPr>
        <w:color w:val="006D68"/>
        <w:sz w:val="14"/>
        <w:szCs w:val="14"/>
        <w:lang w:val="fr-FR"/>
      </w:rPr>
      <w:t>: 2019</w:t>
    </w:r>
    <w:r w:rsidR="00B80AB7">
      <w:rPr>
        <w:color w:val="006D68"/>
        <w:sz w:val="14"/>
        <w:szCs w:val="14"/>
        <w:lang w:val="fr-FR"/>
      </w:rPr>
      <w:t>/</w:t>
    </w:r>
    <w:r>
      <w:rPr>
        <w:color w:val="006D68"/>
        <w:sz w:val="14"/>
        <w:szCs w:val="14"/>
        <w:lang w:val="fr-FR"/>
      </w:rPr>
      <w:t>0101578</w:t>
    </w:r>
    <w:r w:rsidR="00FB2318" w:rsidRPr="00FD170B">
      <w:rPr>
        <w:b/>
        <w:color w:val="006D68"/>
        <w:sz w:val="14"/>
        <w:szCs w:val="14"/>
        <w:lang w:val="fr-FR"/>
      </w:rPr>
      <w:tab/>
      <w:t xml:space="preserve">Page </w:t>
    </w:r>
    <w:r w:rsidR="00FB2318" w:rsidRPr="00487A22">
      <w:rPr>
        <w:b/>
        <w:color w:val="006D68"/>
        <w:sz w:val="14"/>
        <w:szCs w:val="14"/>
      </w:rPr>
      <w:fldChar w:fldCharType="begin"/>
    </w:r>
    <w:r w:rsidR="00FB2318" w:rsidRPr="00487A22">
      <w:rPr>
        <w:b/>
        <w:color w:val="006D68"/>
        <w:sz w:val="14"/>
        <w:szCs w:val="14"/>
      </w:rPr>
      <w:instrText xml:space="preserve"> PAGE </w:instrText>
    </w:r>
    <w:r w:rsidR="00FB2318" w:rsidRPr="00487A22">
      <w:rPr>
        <w:b/>
        <w:color w:val="006D68"/>
        <w:sz w:val="14"/>
        <w:szCs w:val="14"/>
      </w:rPr>
      <w:fldChar w:fldCharType="separate"/>
    </w:r>
    <w:r w:rsidR="00785AD5">
      <w:rPr>
        <w:b/>
        <w:noProof/>
        <w:color w:val="006D68"/>
        <w:sz w:val="14"/>
        <w:szCs w:val="14"/>
      </w:rPr>
      <w:t>8</w:t>
    </w:r>
    <w:r w:rsidR="00FB2318" w:rsidRPr="00487A22">
      <w:rPr>
        <w:b/>
        <w:color w:val="006D68"/>
        <w:sz w:val="14"/>
        <w:szCs w:val="14"/>
      </w:rPr>
      <w:fldChar w:fldCharType="end"/>
    </w:r>
    <w:r w:rsidR="00FB2318" w:rsidRPr="00487A22">
      <w:rPr>
        <w:b/>
        <w:color w:val="006D68"/>
        <w:sz w:val="14"/>
        <w:szCs w:val="14"/>
      </w:rPr>
      <w:t xml:space="preserve"> of </w:t>
    </w:r>
    <w:r w:rsidR="00FB2318" w:rsidRPr="00487A22">
      <w:rPr>
        <w:b/>
        <w:color w:val="006D68"/>
        <w:sz w:val="14"/>
        <w:szCs w:val="14"/>
      </w:rPr>
      <w:fldChar w:fldCharType="begin"/>
    </w:r>
    <w:r w:rsidR="00FB2318" w:rsidRPr="00487A22">
      <w:rPr>
        <w:b/>
        <w:color w:val="006D68"/>
        <w:sz w:val="14"/>
        <w:szCs w:val="14"/>
      </w:rPr>
      <w:instrText xml:space="preserve"> NUMPAGES </w:instrText>
    </w:r>
    <w:r w:rsidR="00FB2318" w:rsidRPr="00487A22">
      <w:rPr>
        <w:b/>
        <w:color w:val="006D68"/>
        <w:sz w:val="14"/>
        <w:szCs w:val="14"/>
      </w:rPr>
      <w:fldChar w:fldCharType="separate"/>
    </w:r>
    <w:r w:rsidR="00785AD5">
      <w:rPr>
        <w:b/>
        <w:noProof/>
        <w:color w:val="006D68"/>
        <w:sz w:val="14"/>
        <w:szCs w:val="14"/>
      </w:rPr>
      <w:t>8</w:t>
    </w:r>
    <w:r w:rsidR="00FB2318" w:rsidRPr="00487A22">
      <w:rPr>
        <w:b/>
        <w:color w:val="006D68"/>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0EBD" w14:textId="77777777" w:rsidR="00FB2318" w:rsidRDefault="00A70691" w:rsidP="00985E68">
    <w:pPr>
      <w:pStyle w:val="Header"/>
      <w:jc w:val="center"/>
      <w:rPr>
        <w:b/>
        <w:color w:val="006D68"/>
        <w:sz w:val="14"/>
        <w:szCs w:val="14"/>
      </w:rPr>
    </w:pPr>
    <w:r>
      <w:rPr>
        <w:noProof/>
        <w:lang w:eastAsia="en-GB"/>
      </w:rPr>
      <w:drawing>
        <wp:anchor distT="288290" distB="0" distL="288290" distR="114300" simplePos="0" relativeHeight="251658240" behindDoc="0" locked="0" layoutInCell="1" allowOverlap="0" wp14:anchorId="6E120EC2" wp14:editId="6E120EC3">
          <wp:simplePos x="0" y="0"/>
          <wp:positionH relativeFrom="page">
            <wp:posOffset>288290</wp:posOffset>
          </wp:positionH>
          <wp:positionV relativeFrom="page">
            <wp:posOffset>252095</wp:posOffset>
          </wp:positionV>
          <wp:extent cx="6572250" cy="619125"/>
          <wp:effectExtent l="0" t="0" r="0" b="9525"/>
          <wp:wrapNone/>
          <wp:docPr id="5" name="Picture 5" descr="ONRlogoA4col_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RlogoA4col_hi"/>
                  <pic:cNvPicPr>
                    <a:picLocks noChangeAspect="1" noChangeArrowheads="1"/>
                  </pic:cNvPicPr>
                </pic:nvPicPr>
                <pic:blipFill>
                  <a:blip r:embed="rId1">
                    <a:extLst>
                      <a:ext uri="{28A0092B-C50C-407E-A947-70E740481C1C}">
                        <a14:useLocalDpi xmlns:a14="http://schemas.microsoft.com/office/drawing/2010/main" val="0"/>
                      </a:ext>
                    </a:extLst>
                  </a:blip>
                  <a:srcRect l="7547" t="22310" r="-100261" b="23965"/>
                  <a:stretch>
                    <a:fillRect/>
                  </a:stretch>
                </pic:blipFill>
                <pic:spPr bwMode="auto">
                  <a:xfrm>
                    <a:off x="0" y="0"/>
                    <a:ext cx="6572250" cy="619125"/>
                  </a:xfrm>
                  <a:prstGeom prst="rect">
                    <a:avLst/>
                  </a:prstGeom>
                  <a:noFill/>
                </pic:spPr>
              </pic:pic>
            </a:graphicData>
          </a:graphic>
          <wp14:sizeRelH relativeFrom="page">
            <wp14:pctWidth>0</wp14:pctWidth>
          </wp14:sizeRelH>
          <wp14:sizeRelV relativeFrom="page">
            <wp14:pctHeight>0</wp14:pctHeight>
          </wp14:sizeRelV>
        </wp:anchor>
      </w:drawing>
    </w:r>
  </w:p>
  <w:p w14:paraId="6E120EBE" w14:textId="77777777" w:rsidR="00FB2318" w:rsidRDefault="00FB2318" w:rsidP="00985E68">
    <w:pPr>
      <w:pStyle w:val="Footer"/>
      <w:tabs>
        <w:tab w:val="clear" w:pos="4153"/>
        <w:tab w:val="clear" w:pos="8306"/>
        <w:tab w:val="right" w:pos="9214"/>
      </w:tabs>
      <w:jc w:val="center"/>
      <w:rPr>
        <w:color w:val="006D68"/>
        <w:sz w:val="14"/>
        <w:szCs w:val="14"/>
      </w:rPr>
    </w:pPr>
  </w:p>
  <w:p w14:paraId="6E120EBF" w14:textId="77777777" w:rsidR="00FB2318" w:rsidRPr="00B56CCE" w:rsidRDefault="00FB2318" w:rsidP="00B56CCE">
    <w:pPr>
      <w:pStyle w:val="Footer"/>
      <w:tabs>
        <w:tab w:val="clear" w:pos="4153"/>
        <w:tab w:val="clear" w:pos="8306"/>
        <w:tab w:val="right" w:pos="9214"/>
      </w:tabs>
      <w:rPr>
        <w:b/>
        <w:color w:val="006D68"/>
        <w:sz w:val="14"/>
        <w:szCs w:val="14"/>
      </w:rPr>
    </w:pPr>
    <w:r>
      <w:rPr>
        <w:color w:val="006D68"/>
        <w:sz w:val="14"/>
        <w:szCs w:val="14"/>
      </w:rPr>
      <w:t>Template Ref: ONR-DOC-TEMP-002 Revision 3</w:t>
    </w:r>
    <w:r w:rsidRPr="00B56CCE">
      <w:rPr>
        <w:color w:val="006D68"/>
        <w:sz w:val="14"/>
        <w:szCs w:val="14"/>
      </w:rPr>
      <w:tab/>
    </w:r>
    <w:r w:rsidRPr="00B56CCE">
      <w:rPr>
        <w:b/>
        <w:color w:val="006D68"/>
        <w:sz w:val="14"/>
        <w:szCs w:val="14"/>
      </w:rPr>
      <w:t xml:space="preserve">Page </w:t>
    </w:r>
    <w:r w:rsidRPr="00B56CCE">
      <w:rPr>
        <w:b/>
        <w:color w:val="006D68"/>
        <w:sz w:val="14"/>
        <w:szCs w:val="14"/>
      </w:rPr>
      <w:fldChar w:fldCharType="begin"/>
    </w:r>
    <w:r w:rsidRPr="00B56CCE">
      <w:rPr>
        <w:b/>
        <w:color w:val="006D68"/>
        <w:sz w:val="14"/>
        <w:szCs w:val="14"/>
      </w:rPr>
      <w:instrText xml:space="preserve"> PAGE </w:instrText>
    </w:r>
    <w:r w:rsidRPr="00B56CCE">
      <w:rPr>
        <w:b/>
        <w:color w:val="006D68"/>
        <w:sz w:val="14"/>
        <w:szCs w:val="14"/>
      </w:rPr>
      <w:fldChar w:fldCharType="separate"/>
    </w:r>
    <w:r w:rsidR="00785AD5">
      <w:rPr>
        <w:b/>
        <w:noProof/>
        <w:color w:val="006D68"/>
        <w:sz w:val="14"/>
        <w:szCs w:val="14"/>
      </w:rPr>
      <w:t>1</w:t>
    </w:r>
    <w:r w:rsidRPr="00B56CCE">
      <w:rPr>
        <w:b/>
        <w:color w:val="006D68"/>
        <w:sz w:val="14"/>
        <w:szCs w:val="14"/>
      </w:rPr>
      <w:fldChar w:fldCharType="end"/>
    </w:r>
    <w:r w:rsidRPr="00B56CCE">
      <w:rPr>
        <w:b/>
        <w:color w:val="006D68"/>
        <w:sz w:val="14"/>
        <w:szCs w:val="14"/>
      </w:rPr>
      <w:t xml:space="preserve"> of </w:t>
    </w:r>
    <w:r w:rsidRPr="00B56CCE">
      <w:rPr>
        <w:b/>
        <w:color w:val="006D68"/>
        <w:sz w:val="14"/>
        <w:szCs w:val="14"/>
      </w:rPr>
      <w:fldChar w:fldCharType="begin"/>
    </w:r>
    <w:r w:rsidRPr="00B56CCE">
      <w:rPr>
        <w:b/>
        <w:color w:val="006D68"/>
        <w:sz w:val="14"/>
        <w:szCs w:val="14"/>
      </w:rPr>
      <w:instrText xml:space="preserve"> NUMPAGES </w:instrText>
    </w:r>
    <w:r w:rsidRPr="00B56CCE">
      <w:rPr>
        <w:b/>
        <w:color w:val="006D68"/>
        <w:sz w:val="14"/>
        <w:szCs w:val="14"/>
      </w:rPr>
      <w:fldChar w:fldCharType="separate"/>
    </w:r>
    <w:r w:rsidR="00785AD5">
      <w:rPr>
        <w:b/>
        <w:noProof/>
        <w:color w:val="006D68"/>
        <w:sz w:val="14"/>
        <w:szCs w:val="14"/>
      </w:rPr>
      <w:t>8</w:t>
    </w:r>
    <w:r w:rsidRPr="00B56CCE">
      <w:rPr>
        <w:b/>
        <w:color w:val="006D68"/>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7FB99" w14:textId="77777777" w:rsidR="00094D61" w:rsidRDefault="00094D61">
      <w:r>
        <w:separator/>
      </w:r>
    </w:p>
  </w:footnote>
  <w:footnote w:type="continuationSeparator" w:id="0">
    <w:p w14:paraId="2B794E5B" w14:textId="77777777" w:rsidR="00094D61" w:rsidRDefault="00094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7201" w14:textId="77777777" w:rsidR="00E9465F" w:rsidRDefault="00E946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0EAD" w14:textId="77777777" w:rsidR="00FB2318" w:rsidRDefault="00FB2318">
    <w:pPr>
      <w:pStyle w:val="Header"/>
      <w:rPr>
        <w:b/>
        <w:color w:val="006D68"/>
        <w:sz w:val="14"/>
        <w:szCs w:val="14"/>
      </w:rPr>
    </w:pPr>
    <w:r w:rsidRPr="00487A22">
      <w:rPr>
        <w:color w:val="006D68"/>
        <w:sz w:val="14"/>
        <w:szCs w:val="14"/>
      </w:rPr>
      <w:t>Office for Nuclear Regulation</w:t>
    </w:r>
    <w:r w:rsidRPr="00B56CCE">
      <w:rPr>
        <w:b/>
        <w:color w:val="006D68"/>
        <w:sz w:val="14"/>
        <w:szCs w:val="14"/>
      </w:rPr>
      <w:t xml:space="preserve"> </w:t>
    </w:r>
  </w:p>
  <w:p w14:paraId="6E120EAE" w14:textId="77777777" w:rsidR="00FB2318" w:rsidRDefault="00FB2318">
    <w:pPr>
      <w:pStyle w:val="Header"/>
      <w:rPr>
        <w:b/>
        <w:color w:val="006D68"/>
        <w:sz w:val="14"/>
        <w:szCs w:val="14"/>
      </w:rPr>
    </w:pPr>
  </w:p>
  <w:p w14:paraId="6E120EAF" w14:textId="77777777" w:rsidR="00FB2318" w:rsidRDefault="00FB2318">
    <w:pPr>
      <w:pStyle w:val="Header"/>
      <w:rPr>
        <w:b/>
        <w:color w:val="006D68"/>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0EB5" w14:textId="77777777" w:rsidR="00FB2318" w:rsidRDefault="00FB2318" w:rsidP="00CA3B14">
    <w:pPr>
      <w:pStyle w:val="Header"/>
      <w:rPr>
        <w:b/>
        <w:color w:val="006D68"/>
        <w:sz w:val="14"/>
        <w:szCs w:val="14"/>
      </w:rPr>
    </w:pPr>
    <w:r w:rsidRPr="00CA3B14">
      <w:rPr>
        <w:b/>
        <w:color w:val="006D68"/>
        <w:sz w:val="14"/>
        <w:szCs w:val="14"/>
      </w:rPr>
      <w:t xml:space="preserve"> </w:t>
    </w:r>
    <w:r w:rsidRPr="00B56CCE">
      <w:rPr>
        <w:b/>
        <w:color w:val="006D68"/>
        <w:sz w:val="14"/>
        <w:szCs w:val="14"/>
      </w:rPr>
      <w:t xml:space="preserve">Title of </w:t>
    </w:r>
    <w:r>
      <w:rPr>
        <w:b/>
        <w:color w:val="006D68"/>
        <w:sz w:val="14"/>
        <w:szCs w:val="14"/>
      </w:rPr>
      <w:t>document</w:t>
    </w:r>
  </w:p>
  <w:p w14:paraId="6E120EB6" w14:textId="77777777" w:rsidR="00FB2318" w:rsidRDefault="00FB2318" w:rsidP="00CA3B14">
    <w:pPr>
      <w:pStyle w:val="Header"/>
      <w:rPr>
        <w:b/>
        <w:color w:val="006D68"/>
        <w:sz w:val="14"/>
        <w:szCs w:val="14"/>
      </w:rPr>
    </w:pPr>
  </w:p>
  <w:p w14:paraId="6E120EB7" w14:textId="77777777" w:rsidR="00FB2318" w:rsidRDefault="00FB2318" w:rsidP="00CA3B14">
    <w:pPr>
      <w:pStyle w:val="Header"/>
      <w:rPr>
        <w:b/>
        <w:color w:val="006D68"/>
        <w:sz w:val="14"/>
        <w:szCs w:val="14"/>
      </w:rPr>
    </w:pPr>
  </w:p>
  <w:p w14:paraId="6E120EB8" w14:textId="77777777" w:rsidR="00FB2318" w:rsidRDefault="00FB2318" w:rsidP="00CA3B14">
    <w:pPr>
      <w:pStyle w:val="Header"/>
      <w:rPr>
        <w:b/>
        <w:color w:val="006D68"/>
        <w:sz w:val="14"/>
        <w:szCs w:val="14"/>
      </w:rPr>
    </w:pPr>
  </w:p>
  <w:p w14:paraId="6E120EB9" w14:textId="77777777" w:rsidR="00FB2318" w:rsidRDefault="00FB2318" w:rsidP="00CA3B14">
    <w:pPr>
      <w:pStyle w:val="Header"/>
      <w:rPr>
        <w:b/>
        <w:color w:val="006D68"/>
        <w:sz w:val="14"/>
        <w:szCs w:val="14"/>
      </w:rPr>
    </w:pPr>
  </w:p>
  <w:p w14:paraId="6E120EBA" w14:textId="77777777" w:rsidR="00FB2318" w:rsidRDefault="00FB2318" w:rsidP="00CA3B14">
    <w:pPr>
      <w:pStyle w:val="Header"/>
      <w:rPr>
        <w:b/>
        <w:color w:val="006D68"/>
        <w:sz w:val="14"/>
        <w:szCs w:val="14"/>
      </w:rPr>
    </w:pPr>
  </w:p>
  <w:p w14:paraId="6E120EBB" w14:textId="77777777" w:rsidR="00FB2318" w:rsidRDefault="00FB2318" w:rsidP="00CA3B14">
    <w:pPr>
      <w:pStyle w:val="Header"/>
      <w:rPr>
        <w:b/>
        <w:color w:val="006D68"/>
        <w:sz w:val="14"/>
        <w:szCs w:val="14"/>
      </w:rPr>
    </w:pPr>
  </w:p>
  <w:p w14:paraId="6E120EBC" w14:textId="77777777" w:rsidR="00FB2318" w:rsidRPr="00D55197" w:rsidRDefault="00A70691" w:rsidP="00CA3B14">
    <w:pPr>
      <w:pStyle w:val="Header"/>
      <w:jc w:val="center"/>
      <w:rPr>
        <w:b/>
        <w:color w:val="006D68"/>
        <w:sz w:val="14"/>
        <w:szCs w:val="14"/>
      </w:rPr>
    </w:pPr>
    <w:r>
      <w:rPr>
        <w:b/>
        <w:noProof/>
        <w:color w:val="006D68"/>
        <w:sz w:val="24"/>
        <w:szCs w:val="14"/>
        <w:lang w:eastAsia="en-GB"/>
      </w:rPr>
      <w:drawing>
        <wp:anchor distT="288290" distB="0" distL="288290" distR="114300" simplePos="0" relativeHeight="251657216" behindDoc="0" locked="0" layoutInCell="1" allowOverlap="0" wp14:anchorId="6E120EC0" wp14:editId="6E120EC1">
          <wp:simplePos x="0" y="0"/>
          <wp:positionH relativeFrom="page">
            <wp:posOffset>288290</wp:posOffset>
          </wp:positionH>
          <wp:positionV relativeFrom="page">
            <wp:posOffset>252095</wp:posOffset>
          </wp:positionV>
          <wp:extent cx="6572250" cy="619125"/>
          <wp:effectExtent l="0" t="0" r="0" b="9525"/>
          <wp:wrapNone/>
          <wp:docPr id="4" name="Picture 4" descr="ONRlogoA4col_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RlogoA4col_hi"/>
                  <pic:cNvPicPr>
                    <a:picLocks noChangeAspect="1" noChangeArrowheads="1"/>
                  </pic:cNvPicPr>
                </pic:nvPicPr>
                <pic:blipFill>
                  <a:blip r:embed="rId1">
                    <a:extLst>
                      <a:ext uri="{28A0092B-C50C-407E-A947-70E740481C1C}">
                        <a14:useLocalDpi xmlns:a14="http://schemas.microsoft.com/office/drawing/2010/main" val="0"/>
                      </a:ext>
                    </a:extLst>
                  </a:blip>
                  <a:srcRect l="7547" t="22310" r="-100261" b="23965"/>
                  <a:stretch>
                    <a:fillRect/>
                  </a:stretch>
                </pic:blipFill>
                <pic:spPr bwMode="auto">
                  <a:xfrm>
                    <a:off x="0" y="0"/>
                    <a:ext cx="6572250" cy="6191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4A5"/>
    <w:multiLevelType w:val="hybridMultilevel"/>
    <w:tmpl w:val="ECCA9B40"/>
    <w:lvl w:ilvl="0" w:tplc="DD7C743A">
      <w:start w:val="1"/>
      <w:numFmt w:val="lowerLetter"/>
      <w:lvlText w:val="%1)"/>
      <w:lvlJc w:val="left"/>
      <w:pPr>
        <w:tabs>
          <w:tab w:val="num" w:pos="1152"/>
        </w:tabs>
        <w:ind w:left="1152" w:hanging="432"/>
      </w:pPr>
      <w:rPr>
        <w:rFonts w:ascii="Arial" w:hAnsi="Arial" w:hint="default"/>
        <w:sz w:val="24"/>
      </w:rPr>
    </w:lvl>
    <w:lvl w:ilvl="1" w:tplc="559489D2" w:tentative="1">
      <w:start w:val="1"/>
      <w:numFmt w:val="lowerLetter"/>
      <w:lvlText w:val="%2."/>
      <w:lvlJc w:val="left"/>
      <w:pPr>
        <w:tabs>
          <w:tab w:val="num" w:pos="1152"/>
        </w:tabs>
        <w:ind w:left="1152" w:hanging="360"/>
      </w:pPr>
    </w:lvl>
    <w:lvl w:ilvl="2" w:tplc="E144676C" w:tentative="1">
      <w:start w:val="1"/>
      <w:numFmt w:val="lowerRoman"/>
      <w:lvlText w:val="%3."/>
      <w:lvlJc w:val="right"/>
      <w:pPr>
        <w:tabs>
          <w:tab w:val="num" w:pos="1872"/>
        </w:tabs>
        <w:ind w:left="1872" w:hanging="180"/>
      </w:pPr>
    </w:lvl>
    <w:lvl w:ilvl="3" w:tplc="2BE8A7E2" w:tentative="1">
      <w:start w:val="1"/>
      <w:numFmt w:val="decimal"/>
      <w:lvlText w:val="%4."/>
      <w:lvlJc w:val="left"/>
      <w:pPr>
        <w:tabs>
          <w:tab w:val="num" w:pos="2592"/>
        </w:tabs>
        <w:ind w:left="2592" w:hanging="360"/>
      </w:pPr>
    </w:lvl>
    <w:lvl w:ilvl="4" w:tplc="03E8242E" w:tentative="1">
      <w:start w:val="1"/>
      <w:numFmt w:val="lowerLetter"/>
      <w:lvlText w:val="%5."/>
      <w:lvlJc w:val="left"/>
      <w:pPr>
        <w:tabs>
          <w:tab w:val="num" w:pos="3312"/>
        </w:tabs>
        <w:ind w:left="3312" w:hanging="360"/>
      </w:pPr>
    </w:lvl>
    <w:lvl w:ilvl="5" w:tplc="58042C86" w:tentative="1">
      <w:start w:val="1"/>
      <w:numFmt w:val="lowerRoman"/>
      <w:lvlText w:val="%6."/>
      <w:lvlJc w:val="right"/>
      <w:pPr>
        <w:tabs>
          <w:tab w:val="num" w:pos="4032"/>
        </w:tabs>
        <w:ind w:left="4032" w:hanging="180"/>
      </w:pPr>
    </w:lvl>
    <w:lvl w:ilvl="6" w:tplc="95F42686" w:tentative="1">
      <w:start w:val="1"/>
      <w:numFmt w:val="decimal"/>
      <w:lvlText w:val="%7."/>
      <w:lvlJc w:val="left"/>
      <w:pPr>
        <w:tabs>
          <w:tab w:val="num" w:pos="4752"/>
        </w:tabs>
        <w:ind w:left="4752" w:hanging="360"/>
      </w:pPr>
    </w:lvl>
    <w:lvl w:ilvl="7" w:tplc="32CAC66C" w:tentative="1">
      <w:start w:val="1"/>
      <w:numFmt w:val="lowerLetter"/>
      <w:lvlText w:val="%8."/>
      <w:lvlJc w:val="left"/>
      <w:pPr>
        <w:tabs>
          <w:tab w:val="num" w:pos="5472"/>
        </w:tabs>
        <w:ind w:left="5472" w:hanging="360"/>
      </w:pPr>
    </w:lvl>
    <w:lvl w:ilvl="8" w:tplc="AC34CEE0" w:tentative="1">
      <w:start w:val="1"/>
      <w:numFmt w:val="lowerRoman"/>
      <w:lvlText w:val="%9."/>
      <w:lvlJc w:val="right"/>
      <w:pPr>
        <w:tabs>
          <w:tab w:val="num" w:pos="6192"/>
        </w:tabs>
        <w:ind w:left="6192" w:hanging="180"/>
      </w:pPr>
    </w:lvl>
  </w:abstractNum>
  <w:abstractNum w:abstractNumId="1" w15:restartNumberingAfterBreak="0">
    <w:nsid w:val="056E78D7"/>
    <w:multiLevelType w:val="multilevel"/>
    <w:tmpl w:val="F4BC67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86A013E"/>
    <w:multiLevelType w:val="multilevel"/>
    <w:tmpl w:val="251E6DCE"/>
    <w:lvl w:ilvl="0">
      <w:start w:val="1"/>
      <w:numFmt w:val="bullet"/>
      <w:lvlText w:val=""/>
      <w:lvlJc w:val="left"/>
      <w:pPr>
        <w:tabs>
          <w:tab w:val="num" w:pos="-31680"/>
        </w:tabs>
        <w:ind w:left="720" w:hanging="72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0620A"/>
    <w:multiLevelType w:val="hybridMultilevel"/>
    <w:tmpl w:val="BC1E60DA"/>
    <w:lvl w:ilvl="0" w:tplc="153AD660">
      <w:start w:val="1"/>
      <w:numFmt w:val="decimal"/>
      <w:lvlText w:val="%1."/>
      <w:lvlJc w:val="left"/>
      <w:pPr>
        <w:ind w:left="2203" w:hanging="360"/>
      </w:pPr>
      <w:rPr>
        <w:rFonts w:hint="default"/>
      </w:rPr>
    </w:lvl>
    <w:lvl w:ilvl="1" w:tplc="08090019" w:tentative="1">
      <w:start w:val="1"/>
      <w:numFmt w:val="lowerLetter"/>
      <w:lvlText w:val="%2."/>
      <w:lvlJc w:val="left"/>
      <w:pPr>
        <w:ind w:left="2923" w:hanging="360"/>
      </w:pPr>
    </w:lvl>
    <w:lvl w:ilvl="2" w:tplc="0809001B" w:tentative="1">
      <w:start w:val="1"/>
      <w:numFmt w:val="lowerRoman"/>
      <w:lvlText w:val="%3."/>
      <w:lvlJc w:val="right"/>
      <w:pPr>
        <w:ind w:left="3643" w:hanging="180"/>
      </w:pPr>
    </w:lvl>
    <w:lvl w:ilvl="3" w:tplc="0809000F" w:tentative="1">
      <w:start w:val="1"/>
      <w:numFmt w:val="decimal"/>
      <w:lvlText w:val="%4."/>
      <w:lvlJc w:val="left"/>
      <w:pPr>
        <w:ind w:left="4363" w:hanging="360"/>
      </w:pPr>
    </w:lvl>
    <w:lvl w:ilvl="4" w:tplc="08090019" w:tentative="1">
      <w:start w:val="1"/>
      <w:numFmt w:val="lowerLetter"/>
      <w:lvlText w:val="%5."/>
      <w:lvlJc w:val="left"/>
      <w:pPr>
        <w:ind w:left="5083" w:hanging="360"/>
      </w:pPr>
    </w:lvl>
    <w:lvl w:ilvl="5" w:tplc="0809001B" w:tentative="1">
      <w:start w:val="1"/>
      <w:numFmt w:val="lowerRoman"/>
      <w:lvlText w:val="%6."/>
      <w:lvlJc w:val="right"/>
      <w:pPr>
        <w:ind w:left="5803" w:hanging="180"/>
      </w:pPr>
    </w:lvl>
    <w:lvl w:ilvl="6" w:tplc="0809000F" w:tentative="1">
      <w:start w:val="1"/>
      <w:numFmt w:val="decimal"/>
      <w:lvlText w:val="%7."/>
      <w:lvlJc w:val="left"/>
      <w:pPr>
        <w:ind w:left="6523" w:hanging="360"/>
      </w:pPr>
    </w:lvl>
    <w:lvl w:ilvl="7" w:tplc="08090019" w:tentative="1">
      <w:start w:val="1"/>
      <w:numFmt w:val="lowerLetter"/>
      <w:lvlText w:val="%8."/>
      <w:lvlJc w:val="left"/>
      <w:pPr>
        <w:ind w:left="7243" w:hanging="360"/>
      </w:pPr>
    </w:lvl>
    <w:lvl w:ilvl="8" w:tplc="0809001B" w:tentative="1">
      <w:start w:val="1"/>
      <w:numFmt w:val="lowerRoman"/>
      <w:lvlText w:val="%9."/>
      <w:lvlJc w:val="right"/>
      <w:pPr>
        <w:ind w:left="7963" w:hanging="180"/>
      </w:pPr>
    </w:lvl>
  </w:abstractNum>
  <w:abstractNum w:abstractNumId="4" w15:restartNumberingAfterBreak="0">
    <w:nsid w:val="11D8308B"/>
    <w:multiLevelType w:val="hybridMultilevel"/>
    <w:tmpl w:val="1954EF58"/>
    <w:lvl w:ilvl="0" w:tplc="1694B1E4">
      <w:start w:val="1"/>
      <w:numFmt w:val="decimal"/>
      <w:lvlText w:val="%1."/>
      <w:lvlJc w:val="left"/>
      <w:pPr>
        <w:ind w:left="1778"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 w15:restartNumberingAfterBreak="0">
    <w:nsid w:val="231F22F6"/>
    <w:multiLevelType w:val="multilevel"/>
    <w:tmpl w:val="251E6DCE"/>
    <w:lvl w:ilvl="0">
      <w:start w:val="1"/>
      <w:numFmt w:val="bullet"/>
      <w:lvlText w:val=""/>
      <w:lvlJc w:val="left"/>
      <w:pPr>
        <w:tabs>
          <w:tab w:val="num" w:pos="-31680"/>
        </w:tabs>
        <w:ind w:left="720" w:hanging="72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66945"/>
    <w:multiLevelType w:val="hybridMultilevel"/>
    <w:tmpl w:val="21B8E1B4"/>
    <w:lvl w:ilvl="0" w:tplc="9710B646">
      <w:start w:val="1"/>
      <w:numFmt w:val="bullet"/>
      <w:pStyle w:val="TSBullet2Circle"/>
      <w:lvlText w:val=""/>
      <w:lvlJc w:val="left"/>
      <w:pPr>
        <w:tabs>
          <w:tab w:val="num" w:pos="-31680"/>
        </w:tabs>
        <w:ind w:left="2160" w:hanging="720"/>
      </w:pPr>
      <w:rPr>
        <w:rFonts w:ascii="Symbol" w:hAnsi="Symbol" w:hint="default"/>
        <w:b w:val="0"/>
        <w:i w:val="0"/>
        <w:color w:val="333333"/>
        <w:sz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8D0730"/>
    <w:multiLevelType w:val="multilevel"/>
    <w:tmpl w:val="03CAB566"/>
    <w:lvl w:ilvl="0">
      <w:start w:val="1"/>
      <w:numFmt w:val="bullet"/>
      <w:lvlText w:val=""/>
      <w:lvlJc w:val="left"/>
      <w:pPr>
        <w:tabs>
          <w:tab w:val="num" w:pos="-31680"/>
        </w:tabs>
        <w:ind w:left="720" w:hanging="720"/>
      </w:pPr>
      <w:rPr>
        <w:rFonts w:ascii="Symbol" w:hAnsi="Symbol" w:hint="default"/>
        <w:b w:val="0"/>
        <w:i w:val="0"/>
        <w:sz w:val="24"/>
      </w:rPr>
    </w:lvl>
    <w:lvl w:ilvl="1">
      <w:start w:val="1"/>
      <w:numFmt w:val="bullet"/>
      <w:lvlText w:val="○"/>
      <w:lvlJc w:val="left"/>
      <w:pPr>
        <w:tabs>
          <w:tab w:val="num" w:pos="-31680"/>
        </w:tabs>
        <w:ind w:left="1440" w:hanging="720"/>
      </w:pPr>
      <w:rPr>
        <w:rFonts w:ascii="Arial" w:hAnsi="Arial"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lowerLetter"/>
      <w:lvlRestart w:val="0"/>
      <w:lvlText w:val="%5)"/>
      <w:lvlJc w:val="left"/>
      <w:pPr>
        <w:tabs>
          <w:tab w:val="num" w:pos="1800"/>
        </w:tabs>
        <w:ind w:left="1800" w:hanging="720"/>
      </w:pPr>
      <w:rPr>
        <w:rFonts w:hint="default"/>
      </w:rPr>
    </w:lvl>
    <w:lvl w:ilvl="5">
      <w:start w:val="1"/>
      <w:numFmt w:val="lowerRoman"/>
      <w:lvlText w:val="%6)"/>
      <w:lvlJc w:val="left"/>
      <w:pPr>
        <w:tabs>
          <w:tab w:val="num" w:pos="2401"/>
        </w:tabs>
        <w:ind w:left="2401" w:hanging="601"/>
      </w:pPr>
      <w:rPr>
        <w:rFonts w:hint="default"/>
      </w:rPr>
    </w:lvl>
    <w:lvl w:ilvl="6">
      <w:start w:val="1"/>
      <w:numFmt w:val="bullet"/>
      <w:lvlText w:val=""/>
      <w:lvlJc w:val="left"/>
      <w:pPr>
        <w:tabs>
          <w:tab w:val="num" w:pos="360"/>
        </w:tabs>
        <w:ind w:left="1080" w:hanging="720"/>
      </w:pPr>
      <w:rPr>
        <w:rFonts w:ascii="Symbol" w:hAnsi="Symbol" w:hint="default"/>
        <w:sz w:val="24"/>
      </w:rPr>
    </w:lvl>
    <w:lvl w:ilvl="7">
      <w:start w:val="1"/>
      <w:numFmt w:val="bullet"/>
      <w:lvlText w:val=""/>
      <w:lvlJc w:val="left"/>
      <w:pPr>
        <w:tabs>
          <w:tab w:val="num" w:pos="1800"/>
        </w:tabs>
        <w:ind w:left="1800" w:hanging="720"/>
      </w:pPr>
      <w:rPr>
        <w:rFonts w:ascii="Symbol" w:hAnsi="Symbol" w:hint="default"/>
        <w:sz w:val="28"/>
      </w:rPr>
    </w:lvl>
    <w:lvl w:ilvl="8">
      <w:start w:val="1"/>
      <w:numFmt w:val="bullet"/>
      <w:lvlText w:val=""/>
      <w:lvlJc w:val="left"/>
      <w:pPr>
        <w:tabs>
          <w:tab w:val="num" w:pos="2401"/>
        </w:tabs>
        <w:ind w:left="2401" w:hanging="601"/>
      </w:pPr>
      <w:rPr>
        <w:rFonts w:ascii="Symbol" w:hAnsi="Symbol" w:hint="default"/>
        <w:sz w:val="28"/>
      </w:rPr>
    </w:lvl>
  </w:abstractNum>
  <w:abstractNum w:abstractNumId="8" w15:restartNumberingAfterBreak="0">
    <w:nsid w:val="29706A39"/>
    <w:multiLevelType w:val="multilevel"/>
    <w:tmpl w:val="343E8012"/>
    <w:lvl w:ilvl="0">
      <w:start w:val="1"/>
      <w:numFmt w:val="decimal"/>
      <w:pStyle w:val="TSHeadingNumbered1"/>
      <w:lvlText w:val="%1."/>
      <w:lvlJc w:val="left"/>
      <w:pPr>
        <w:tabs>
          <w:tab w:val="num" w:pos="-31680"/>
        </w:tabs>
        <w:ind w:left="720" w:hanging="720"/>
      </w:pPr>
      <w:rPr>
        <w:rFonts w:hint="default"/>
        <w:sz w:val="22"/>
      </w:rPr>
    </w:lvl>
    <w:lvl w:ilvl="1">
      <w:start w:val="1"/>
      <w:numFmt w:val="decimal"/>
      <w:pStyle w:val="TSHeadingNumbered11"/>
      <w:lvlText w:val="%1.%2"/>
      <w:lvlJc w:val="left"/>
      <w:pPr>
        <w:tabs>
          <w:tab w:val="num" w:pos="-31680"/>
        </w:tabs>
        <w:ind w:left="720" w:hanging="720"/>
      </w:pPr>
      <w:rPr>
        <w:rFonts w:hint="default"/>
        <w:b w:val="0"/>
        <w:color w:val="000000" w:themeColor="text1"/>
        <w:sz w:val="22"/>
      </w:rPr>
    </w:lvl>
    <w:lvl w:ilvl="2">
      <w:start w:val="1"/>
      <w:numFmt w:val="decimal"/>
      <w:pStyle w:val="TSHeadingNumbered111"/>
      <w:lvlText w:val="%1.%2.%3"/>
      <w:lvlJc w:val="left"/>
      <w:pPr>
        <w:tabs>
          <w:tab w:val="num" w:pos="-31680"/>
        </w:tabs>
        <w:ind w:left="720" w:hanging="720"/>
      </w:pPr>
      <w:rPr>
        <w:rFonts w:hint="default"/>
        <w:sz w:val="22"/>
      </w:rPr>
    </w:lvl>
    <w:lvl w:ilvl="3">
      <w:start w:val="1"/>
      <w:numFmt w:val="decimal"/>
      <w:pStyle w:val="TSHeadingNumbered1111"/>
      <w:lvlText w:val="%1.%2.%3.%4"/>
      <w:lvlJc w:val="left"/>
      <w:pPr>
        <w:tabs>
          <w:tab w:val="num" w:pos="-31680"/>
        </w:tabs>
        <w:ind w:left="720" w:hanging="720"/>
      </w:pPr>
      <w:rPr>
        <w:rFonts w:hint="default"/>
        <w:sz w:val="22"/>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9E44759"/>
    <w:multiLevelType w:val="hybridMultilevel"/>
    <w:tmpl w:val="E13C4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8A4674"/>
    <w:multiLevelType w:val="multilevel"/>
    <w:tmpl w:val="3858D28C"/>
    <w:lvl w:ilvl="0">
      <w:start w:val="1"/>
      <w:numFmt w:val="decimal"/>
      <w:lvlText w:val="%1"/>
      <w:lvlJc w:val="left"/>
      <w:pPr>
        <w:tabs>
          <w:tab w:val="num" w:pos="-31680"/>
        </w:tabs>
        <w:ind w:left="720" w:hanging="720"/>
      </w:pPr>
      <w:rPr>
        <w:rFonts w:hint="default"/>
        <w:sz w:val="22"/>
      </w:rPr>
    </w:lvl>
    <w:lvl w:ilvl="1">
      <w:start w:val="1"/>
      <w:numFmt w:val="decimal"/>
      <w:lvlText w:val="%1.%2"/>
      <w:lvlJc w:val="left"/>
      <w:pPr>
        <w:tabs>
          <w:tab w:val="num" w:pos="-31680"/>
        </w:tabs>
        <w:ind w:left="720" w:hanging="720"/>
      </w:pPr>
      <w:rPr>
        <w:rFonts w:hint="default"/>
        <w:sz w:val="22"/>
      </w:rPr>
    </w:lvl>
    <w:lvl w:ilvl="2">
      <w:start w:val="1"/>
      <w:numFmt w:val="decimal"/>
      <w:lvlText w:val="%1.%2.%3"/>
      <w:lvlJc w:val="left"/>
      <w:pPr>
        <w:tabs>
          <w:tab w:val="num" w:pos="-31680"/>
        </w:tabs>
        <w:ind w:left="720" w:hanging="720"/>
      </w:pPr>
      <w:rPr>
        <w:rFonts w:hint="default"/>
        <w:sz w:val="22"/>
      </w:rPr>
    </w:lvl>
    <w:lvl w:ilvl="3">
      <w:start w:val="1"/>
      <w:numFmt w:val="decimal"/>
      <w:lvlText w:val="%1.%2.%3.%4"/>
      <w:lvlJc w:val="left"/>
      <w:pPr>
        <w:tabs>
          <w:tab w:val="num" w:pos="-31680"/>
        </w:tabs>
        <w:ind w:left="720" w:hanging="720"/>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26E5F7C"/>
    <w:multiLevelType w:val="multilevel"/>
    <w:tmpl w:val="23BC3426"/>
    <w:lvl w:ilvl="0">
      <w:start w:val="1"/>
      <w:numFmt w:val="decimal"/>
      <w:lvlText w:val="%1"/>
      <w:lvlJc w:val="left"/>
      <w:pPr>
        <w:tabs>
          <w:tab w:val="num" w:pos="-31680"/>
        </w:tabs>
        <w:ind w:left="720" w:hanging="720"/>
      </w:pPr>
      <w:rPr>
        <w:rFonts w:hint="default"/>
      </w:rPr>
    </w:lvl>
    <w:lvl w:ilvl="1">
      <w:start w:val="1"/>
      <w:numFmt w:val="decimal"/>
      <w:lvlText w:val="%1.%2"/>
      <w:lvlJc w:val="left"/>
      <w:pPr>
        <w:tabs>
          <w:tab w:val="num" w:pos="-31680"/>
        </w:tabs>
        <w:ind w:left="720" w:hanging="720"/>
      </w:pPr>
      <w:rPr>
        <w:rFonts w:hint="default"/>
      </w:rPr>
    </w:lvl>
    <w:lvl w:ilvl="2">
      <w:start w:val="1"/>
      <w:numFmt w:val="decimal"/>
      <w:lvlText w:val="%1.%2.%3"/>
      <w:lvlJc w:val="left"/>
      <w:pPr>
        <w:tabs>
          <w:tab w:val="num" w:pos="-31680"/>
        </w:tabs>
        <w:ind w:left="720" w:hanging="720"/>
      </w:pPr>
      <w:rPr>
        <w:rFonts w:hint="default"/>
      </w:rPr>
    </w:lvl>
    <w:lvl w:ilvl="3">
      <w:start w:val="1"/>
      <w:numFmt w:val="decimal"/>
      <w:lvlText w:val="%1.%2.%3.%4"/>
      <w:lvlJc w:val="left"/>
      <w:pPr>
        <w:tabs>
          <w:tab w:val="num" w:pos="-3168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7AE5F86"/>
    <w:multiLevelType w:val="hybridMultilevel"/>
    <w:tmpl w:val="BE869862"/>
    <w:lvl w:ilvl="0" w:tplc="0CA46EF4">
      <w:start w:val="1"/>
      <w:numFmt w:val="lowerRoman"/>
      <w:lvlText w:val="%1)"/>
      <w:lvlJc w:val="right"/>
      <w:pPr>
        <w:tabs>
          <w:tab w:val="num" w:pos="1656"/>
        </w:tabs>
        <w:ind w:left="1656" w:hanging="360"/>
      </w:pPr>
      <w:rPr>
        <w:rFonts w:ascii="Arial" w:hAnsi="Arial" w:hint="default"/>
        <w:b w:val="0"/>
        <w:i w:val="0"/>
        <w:sz w:val="24"/>
      </w:rPr>
    </w:lvl>
    <w:lvl w:ilvl="1" w:tplc="284EAE58" w:tentative="1">
      <w:start w:val="1"/>
      <w:numFmt w:val="lowerLetter"/>
      <w:lvlText w:val="%2."/>
      <w:lvlJc w:val="left"/>
      <w:pPr>
        <w:tabs>
          <w:tab w:val="num" w:pos="1440"/>
        </w:tabs>
        <w:ind w:left="1440" w:hanging="360"/>
      </w:pPr>
    </w:lvl>
    <w:lvl w:ilvl="2" w:tplc="EC5C3B40" w:tentative="1">
      <w:start w:val="1"/>
      <w:numFmt w:val="lowerRoman"/>
      <w:lvlText w:val="%3."/>
      <w:lvlJc w:val="right"/>
      <w:pPr>
        <w:tabs>
          <w:tab w:val="num" w:pos="2160"/>
        </w:tabs>
        <w:ind w:left="2160" w:hanging="180"/>
      </w:pPr>
    </w:lvl>
    <w:lvl w:ilvl="3" w:tplc="7A8A8FBC" w:tentative="1">
      <w:start w:val="1"/>
      <w:numFmt w:val="decimal"/>
      <w:lvlText w:val="%4."/>
      <w:lvlJc w:val="left"/>
      <w:pPr>
        <w:tabs>
          <w:tab w:val="num" w:pos="2880"/>
        </w:tabs>
        <w:ind w:left="2880" w:hanging="360"/>
      </w:pPr>
    </w:lvl>
    <w:lvl w:ilvl="4" w:tplc="C2D88370" w:tentative="1">
      <w:start w:val="1"/>
      <w:numFmt w:val="lowerLetter"/>
      <w:lvlText w:val="%5."/>
      <w:lvlJc w:val="left"/>
      <w:pPr>
        <w:tabs>
          <w:tab w:val="num" w:pos="3600"/>
        </w:tabs>
        <w:ind w:left="3600" w:hanging="360"/>
      </w:pPr>
    </w:lvl>
    <w:lvl w:ilvl="5" w:tplc="E3AE4C10" w:tentative="1">
      <w:start w:val="1"/>
      <w:numFmt w:val="lowerRoman"/>
      <w:lvlText w:val="%6."/>
      <w:lvlJc w:val="right"/>
      <w:pPr>
        <w:tabs>
          <w:tab w:val="num" w:pos="4320"/>
        </w:tabs>
        <w:ind w:left="4320" w:hanging="180"/>
      </w:pPr>
    </w:lvl>
    <w:lvl w:ilvl="6" w:tplc="61C8B400" w:tentative="1">
      <w:start w:val="1"/>
      <w:numFmt w:val="decimal"/>
      <w:lvlText w:val="%7."/>
      <w:lvlJc w:val="left"/>
      <w:pPr>
        <w:tabs>
          <w:tab w:val="num" w:pos="5040"/>
        </w:tabs>
        <w:ind w:left="5040" w:hanging="360"/>
      </w:pPr>
    </w:lvl>
    <w:lvl w:ilvl="7" w:tplc="03E00AF4" w:tentative="1">
      <w:start w:val="1"/>
      <w:numFmt w:val="lowerLetter"/>
      <w:lvlText w:val="%8."/>
      <w:lvlJc w:val="left"/>
      <w:pPr>
        <w:tabs>
          <w:tab w:val="num" w:pos="5760"/>
        </w:tabs>
        <w:ind w:left="5760" w:hanging="360"/>
      </w:pPr>
    </w:lvl>
    <w:lvl w:ilvl="8" w:tplc="71507626" w:tentative="1">
      <w:start w:val="1"/>
      <w:numFmt w:val="lowerRoman"/>
      <w:lvlText w:val="%9."/>
      <w:lvlJc w:val="right"/>
      <w:pPr>
        <w:tabs>
          <w:tab w:val="num" w:pos="6480"/>
        </w:tabs>
        <w:ind w:left="6480" w:hanging="180"/>
      </w:pPr>
    </w:lvl>
  </w:abstractNum>
  <w:abstractNum w:abstractNumId="13" w15:restartNumberingAfterBreak="0">
    <w:nsid w:val="38484E4A"/>
    <w:multiLevelType w:val="hybridMultilevel"/>
    <w:tmpl w:val="2716E7F4"/>
    <w:lvl w:ilvl="0" w:tplc="1694B1E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4" w15:restartNumberingAfterBreak="0">
    <w:nsid w:val="3A131EFE"/>
    <w:multiLevelType w:val="multilevel"/>
    <w:tmpl w:val="1298B75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lowerLetter"/>
      <w:lvlText w:val="(%5)"/>
      <w:lvlJc w:val="left"/>
      <w:pPr>
        <w:tabs>
          <w:tab w:val="num" w:pos="-31680"/>
        </w:tabs>
        <w:ind w:left="1440" w:hanging="720"/>
      </w:pPr>
      <w:rPr>
        <w:rFonts w:hint="default"/>
      </w:rPr>
    </w:lvl>
    <w:lvl w:ilvl="5">
      <w:start w:val="1"/>
      <w:numFmt w:val="lowerRoman"/>
      <w:lvlText w:val="(%6)"/>
      <w:lvlJc w:val="left"/>
      <w:pPr>
        <w:tabs>
          <w:tab w:val="num" w:pos="-31680"/>
        </w:tabs>
        <w:ind w:left="2160" w:hanging="720"/>
      </w:pPr>
      <w:rPr>
        <w:rFonts w:hint="default"/>
      </w:rPr>
    </w:lvl>
    <w:lvl w:ilvl="6">
      <w:start w:val="1"/>
      <w:numFmt w:val="bullet"/>
      <w:lvlText w:val=""/>
      <w:lvlJc w:val="left"/>
      <w:pPr>
        <w:tabs>
          <w:tab w:val="num" w:pos="720"/>
        </w:tabs>
        <w:ind w:left="720" w:hanging="720"/>
      </w:pPr>
      <w:rPr>
        <w:rFonts w:ascii="Symbol" w:hAnsi="Symbol" w:hint="default"/>
        <w:sz w:val="24"/>
      </w:rPr>
    </w:lvl>
    <w:lvl w:ilvl="7">
      <w:start w:val="1"/>
      <w:numFmt w:val="bullet"/>
      <w:lvlText w:val=""/>
      <w:lvlJc w:val="left"/>
      <w:pPr>
        <w:tabs>
          <w:tab w:val="num" w:pos="1440"/>
        </w:tabs>
        <w:ind w:left="1440" w:hanging="720"/>
      </w:pPr>
      <w:rPr>
        <w:rFonts w:ascii="Symbol" w:hAnsi="Symbol" w:hint="default"/>
        <w:sz w:val="28"/>
      </w:rPr>
    </w:lvl>
    <w:lvl w:ilvl="8">
      <w:start w:val="1"/>
      <w:numFmt w:val="bullet"/>
      <w:lvlText w:val=""/>
      <w:lvlJc w:val="left"/>
      <w:pPr>
        <w:tabs>
          <w:tab w:val="num" w:pos="2041"/>
        </w:tabs>
        <w:ind w:left="2041" w:hanging="601"/>
      </w:pPr>
      <w:rPr>
        <w:rFonts w:ascii="Symbol" w:hAnsi="Symbol" w:hint="default"/>
        <w:sz w:val="28"/>
      </w:rPr>
    </w:lvl>
  </w:abstractNum>
  <w:abstractNum w:abstractNumId="15" w15:restartNumberingAfterBreak="0">
    <w:nsid w:val="513B7A79"/>
    <w:multiLevelType w:val="multilevel"/>
    <w:tmpl w:val="10BC4DE4"/>
    <w:lvl w:ilvl="0">
      <w:start w:val="1"/>
      <w:numFmt w:val="decimal"/>
      <w:pStyle w:val="NumberedHeading"/>
      <w:lvlText w:val="%1."/>
      <w:lvlJc w:val="left"/>
      <w:pPr>
        <w:tabs>
          <w:tab w:val="num" w:pos="-31680"/>
        </w:tabs>
        <w:ind w:left="720" w:hanging="720"/>
      </w:pPr>
      <w:rPr>
        <w:rFonts w:hint="default"/>
      </w:rPr>
    </w:lvl>
    <w:lvl w:ilvl="1">
      <w:start w:val="1"/>
      <w:numFmt w:val="decimal"/>
      <w:pStyle w:val="NumberedParagraph"/>
      <w:lvlText w:val="%1.%2."/>
      <w:lvlJc w:val="left"/>
      <w:pPr>
        <w:tabs>
          <w:tab w:val="num" w:pos="-31680"/>
        </w:tabs>
        <w:ind w:left="720" w:hanging="72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5B505AB8"/>
    <w:multiLevelType w:val="multilevel"/>
    <w:tmpl w:val="DE84116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lowerLetter"/>
      <w:lvlRestart w:val="1"/>
      <w:lvlText w:val="(%5)"/>
      <w:lvlJc w:val="left"/>
      <w:pPr>
        <w:tabs>
          <w:tab w:val="num" w:pos="-31680"/>
        </w:tabs>
        <w:ind w:left="1440" w:hanging="720"/>
      </w:pPr>
      <w:rPr>
        <w:rFonts w:hint="default"/>
      </w:rPr>
    </w:lvl>
    <w:lvl w:ilvl="5">
      <w:start w:val="1"/>
      <w:numFmt w:val="lowerRoman"/>
      <w:lvlRestart w:val="1"/>
      <w:lvlText w:val="(%6)"/>
      <w:lvlJc w:val="left"/>
      <w:pPr>
        <w:tabs>
          <w:tab w:val="num" w:pos="-31680"/>
        </w:tabs>
        <w:ind w:left="2160" w:hanging="720"/>
      </w:pPr>
      <w:rPr>
        <w:rFonts w:hint="default"/>
      </w:rPr>
    </w:lvl>
    <w:lvl w:ilvl="6">
      <w:start w:val="1"/>
      <w:numFmt w:val="bullet"/>
      <w:lvlText w:val=""/>
      <w:lvlJc w:val="left"/>
      <w:pPr>
        <w:tabs>
          <w:tab w:val="num" w:pos="720"/>
        </w:tabs>
        <w:ind w:left="720" w:hanging="720"/>
      </w:pPr>
      <w:rPr>
        <w:rFonts w:ascii="Symbol" w:hAnsi="Symbol" w:hint="default"/>
        <w:sz w:val="24"/>
      </w:rPr>
    </w:lvl>
    <w:lvl w:ilvl="7">
      <w:start w:val="1"/>
      <w:numFmt w:val="bullet"/>
      <w:lvlText w:val=""/>
      <w:lvlJc w:val="left"/>
      <w:pPr>
        <w:tabs>
          <w:tab w:val="num" w:pos="1440"/>
        </w:tabs>
        <w:ind w:left="1440" w:hanging="720"/>
      </w:pPr>
      <w:rPr>
        <w:rFonts w:ascii="Symbol" w:hAnsi="Symbol" w:hint="default"/>
        <w:sz w:val="28"/>
      </w:rPr>
    </w:lvl>
    <w:lvl w:ilvl="8">
      <w:start w:val="1"/>
      <w:numFmt w:val="bullet"/>
      <w:lvlText w:val=""/>
      <w:lvlJc w:val="left"/>
      <w:pPr>
        <w:tabs>
          <w:tab w:val="num" w:pos="2041"/>
        </w:tabs>
        <w:ind w:left="2041" w:hanging="601"/>
      </w:pPr>
      <w:rPr>
        <w:rFonts w:ascii="Symbol" w:hAnsi="Symbol" w:hint="default"/>
        <w:sz w:val="28"/>
      </w:rPr>
    </w:lvl>
  </w:abstractNum>
  <w:abstractNum w:abstractNumId="17" w15:restartNumberingAfterBreak="0">
    <w:nsid w:val="683E5632"/>
    <w:multiLevelType w:val="multilevel"/>
    <w:tmpl w:val="4ADE8ED8"/>
    <w:lvl w:ilvl="0">
      <w:start w:val="1"/>
      <w:numFmt w:val="decimal"/>
      <w:lvlText w:val="%1"/>
      <w:lvlJc w:val="left"/>
      <w:pPr>
        <w:tabs>
          <w:tab w:val="num" w:pos="-31680"/>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E451CAE"/>
    <w:multiLevelType w:val="multilevel"/>
    <w:tmpl w:val="603C673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lowerLetter"/>
      <w:lvlRestart w:val="0"/>
      <w:lvlText w:val="%5)"/>
      <w:lvlJc w:val="left"/>
      <w:pPr>
        <w:tabs>
          <w:tab w:val="num" w:pos="1440"/>
        </w:tabs>
        <w:ind w:left="1440" w:hanging="720"/>
      </w:pPr>
      <w:rPr>
        <w:rFonts w:hint="default"/>
      </w:rPr>
    </w:lvl>
    <w:lvl w:ilvl="5">
      <w:start w:val="1"/>
      <w:numFmt w:val="lowerRoman"/>
      <w:lvlText w:val="%6)"/>
      <w:lvlJc w:val="left"/>
      <w:pPr>
        <w:tabs>
          <w:tab w:val="num" w:pos="2041"/>
        </w:tabs>
        <w:ind w:left="2041" w:hanging="601"/>
      </w:pPr>
      <w:rPr>
        <w:rFonts w:hint="default"/>
      </w:rPr>
    </w:lvl>
    <w:lvl w:ilvl="6">
      <w:start w:val="1"/>
      <w:numFmt w:val="bullet"/>
      <w:lvlText w:val=""/>
      <w:lvlJc w:val="left"/>
      <w:pPr>
        <w:tabs>
          <w:tab w:val="num" w:pos="720"/>
        </w:tabs>
        <w:ind w:left="720" w:hanging="720"/>
      </w:pPr>
      <w:rPr>
        <w:rFonts w:ascii="Symbol" w:hAnsi="Symbol" w:hint="default"/>
        <w:sz w:val="24"/>
      </w:rPr>
    </w:lvl>
    <w:lvl w:ilvl="7">
      <w:start w:val="1"/>
      <w:numFmt w:val="bullet"/>
      <w:lvlText w:val=""/>
      <w:lvlJc w:val="left"/>
      <w:pPr>
        <w:tabs>
          <w:tab w:val="num" w:pos="1440"/>
        </w:tabs>
        <w:ind w:left="1440" w:hanging="720"/>
      </w:pPr>
      <w:rPr>
        <w:rFonts w:ascii="Symbol" w:hAnsi="Symbol" w:hint="default"/>
        <w:sz w:val="28"/>
      </w:rPr>
    </w:lvl>
    <w:lvl w:ilvl="8">
      <w:start w:val="1"/>
      <w:numFmt w:val="bullet"/>
      <w:lvlText w:val=""/>
      <w:lvlJc w:val="left"/>
      <w:pPr>
        <w:tabs>
          <w:tab w:val="num" w:pos="2041"/>
        </w:tabs>
        <w:ind w:left="2041" w:hanging="601"/>
      </w:pPr>
      <w:rPr>
        <w:rFonts w:ascii="Symbol" w:hAnsi="Symbol" w:hint="default"/>
        <w:sz w:val="28"/>
      </w:rPr>
    </w:lvl>
  </w:abstractNum>
  <w:abstractNum w:abstractNumId="19" w15:restartNumberingAfterBreak="0">
    <w:nsid w:val="70C2195C"/>
    <w:multiLevelType w:val="hybridMultilevel"/>
    <w:tmpl w:val="11C8635E"/>
    <w:lvl w:ilvl="0" w:tplc="84BA4EF8">
      <w:start w:val="1"/>
      <w:numFmt w:val="bullet"/>
      <w:pStyle w:val="TSBullet1Square"/>
      <w:lvlText w:val=""/>
      <w:lvlJc w:val="left"/>
      <w:pPr>
        <w:tabs>
          <w:tab w:val="num" w:pos="-31680"/>
        </w:tabs>
        <w:ind w:left="1440" w:hanging="720"/>
      </w:pPr>
      <w:rPr>
        <w:rFonts w:ascii="Wingdings" w:hAnsi="Wingdings" w:hint="default"/>
        <w:b w:val="0"/>
        <w:i w:val="0"/>
        <w:color w:val="333333"/>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2C659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52E4177"/>
    <w:multiLevelType w:val="multilevel"/>
    <w:tmpl w:val="251E6DCE"/>
    <w:lvl w:ilvl="0">
      <w:start w:val="1"/>
      <w:numFmt w:val="bullet"/>
      <w:lvlText w:val=""/>
      <w:lvlJc w:val="left"/>
      <w:pPr>
        <w:tabs>
          <w:tab w:val="num" w:pos="-31680"/>
        </w:tabs>
        <w:ind w:left="720" w:hanging="72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62619"/>
    <w:multiLevelType w:val="hybridMultilevel"/>
    <w:tmpl w:val="43F8FBF0"/>
    <w:lvl w:ilvl="0" w:tplc="D44C0BEE">
      <w:start w:val="1"/>
      <w:numFmt w:val="bullet"/>
      <w:lvlText w:val=""/>
      <w:lvlJc w:val="left"/>
      <w:pPr>
        <w:tabs>
          <w:tab w:val="num" w:pos="1191"/>
        </w:tabs>
        <w:ind w:left="1191"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2"/>
  </w:num>
  <w:num w:numId="3">
    <w:abstractNumId w:val="14"/>
  </w:num>
  <w:num w:numId="4">
    <w:abstractNumId w:val="0"/>
  </w:num>
  <w:num w:numId="5">
    <w:abstractNumId w:val="12"/>
  </w:num>
  <w:num w:numId="6">
    <w:abstractNumId w:val="20"/>
  </w:num>
  <w:num w:numId="7">
    <w:abstractNumId w:val="18"/>
  </w:num>
  <w:num w:numId="8">
    <w:abstractNumId w:val="16"/>
  </w:num>
  <w:num w:numId="9">
    <w:abstractNumId w:val="21"/>
  </w:num>
  <w:num w:numId="10">
    <w:abstractNumId w:val="2"/>
  </w:num>
  <w:num w:numId="11">
    <w:abstractNumId w:val="5"/>
  </w:num>
  <w:num w:numId="12">
    <w:abstractNumId w:val="8"/>
  </w:num>
  <w:num w:numId="13">
    <w:abstractNumId w:val="1"/>
  </w:num>
  <w:num w:numId="14">
    <w:abstractNumId w:val="17"/>
  </w:num>
  <w:num w:numId="15">
    <w:abstractNumId w:val="11"/>
  </w:num>
  <w:num w:numId="16">
    <w:abstractNumId w:val="19"/>
  </w:num>
  <w:num w:numId="17">
    <w:abstractNumId w:val="6"/>
  </w:num>
  <w:num w:numId="18">
    <w:abstractNumId w:val="10"/>
  </w:num>
  <w:num w:numId="19">
    <w:abstractNumId w:val="15"/>
  </w:num>
  <w:num w:numId="20">
    <w:abstractNumId w:val="3"/>
  </w:num>
  <w:num w:numId="21">
    <w:abstractNumId w:val="13"/>
  </w:num>
  <w:num w:numId="22">
    <w:abstractNumId w:val="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A22"/>
    <w:rsid w:val="00030D3C"/>
    <w:rsid w:val="000312D3"/>
    <w:rsid w:val="000715BD"/>
    <w:rsid w:val="00094D61"/>
    <w:rsid w:val="00096F71"/>
    <w:rsid w:val="000B4E40"/>
    <w:rsid w:val="000B69C0"/>
    <w:rsid w:val="000C5EA1"/>
    <w:rsid w:val="000D2634"/>
    <w:rsid w:val="000D6244"/>
    <w:rsid w:val="00103C03"/>
    <w:rsid w:val="00121C8F"/>
    <w:rsid w:val="00131ECC"/>
    <w:rsid w:val="00143636"/>
    <w:rsid w:val="00164F4F"/>
    <w:rsid w:val="001835C7"/>
    <w:rsid w:val="00190B62"/>
    <w:rsid w:val="0019572D"/>
    <w:rsid w:val="001C3DB8"/>
    <w:rsid w:val="001D78A1"/>
    <w:rsid w:val="001E48AA"/>
    <w:rsid w:val="00200CB7"/>
    <w:rsid w:val="00204255"/>
    <w:rsid w:val="0021074A"/>
    <w:rsid w:val="00211A58"/>
    <w:rsid w:val="00216018"/>
    <w:rsid w:val="00220EDB"/>
    <w:rsid w:val="002364EB"/>
    <w:rsid w:val="0028011F"/>
    <w:rsid w:val="0028356A"/>
    <w:rsid w:val="00297401"/>
    <w:rsid w:val="002C68A0"/>
    <w:rsid w:val="0031706E"/>
    <w:rsid w:val="003232CA"/>
    <w:rsid w:val="00324685"/>
    <w:rsid w:val="00331FCF"/>
    <w:rsid w:val="003448C2"/>
    <w:rsid w:val="00344DB9"/>
    <w:rsid w:val="003A0CCE"/>
    <w:rsid w:val="003A473E"/>
    <w:rsid w:val="003D005E"/>
    <w:rsid w:val="003E2CA6"/>
    <w:rsid w:val="003E7B09"/>
    <w:rsid w:val="003F1B24"/>
    <w:rsid w:val="00453151"/>
    <w:rsid w:val="00455004"/>
    <w:rsid w:val="00470182"/>
    <w:rsid w:val="004750A2"/>
    <w:rsid w:val="00481C29"/>
    <w:rsid w:val="00487A22"/>
    <w:rsid w:val="00493688"/>
    <w:rsid w:val="004A7B1B"/>
    <w:rsid w:val="004C5284"/>
    <w:rsid w:val="004C5980"/>
    <w:rsid w:val="004C6573"/>
    <w:rsid w:val="004C7D09"/>
    <w:rsid w:val="004F24BC"/>
    <w:rsid w:val="005041F9"/>
    <w:rsid w:val="0050635B"/>
    <w:rsid w:val="0052749F"/>
    <w:rsid w:val="005322E6"/>
    <w:rsid w:val="00532D01"/>
    <w:rsid w:val="00546276"/>
    <w:rsid w:val="00561839"/>
    <w:rsid w:val="00562F2F"/>
    <w:rsid w:val="005975C6"/>
    <w:rsid w:val="005A1570"/>
    <w:rsid w:val="005A5A87"/>
    <w:rsid w:val="005B1360"/>
    <w:rsid w:val="005B2572"/>
    <w:rsid w:val="005E13C2"/>
    <w:rsid w:val="00600EFB"/>
    <w:rsid w:val="00604F23"/>
    <w:rsid w:val="006061E1"/>
    <w:rsid w:val="00611CC3"/>
    <w:rsid w:val="00612DF0"/>
    <w:rsid w:val="00626183"/>
    <w:rsid w:val="00634EF8"/>
    <w:rsid w:val="00683740"/>
    <w:rsid w:val="00690CB3"/>
    <w:rsid w:val="006A5CCA"/>
    <w:rsid w:val="006B2DA6"/>
    <w:rsid w:val="006C519A"/>
    <w:rsid w:val="006F1199"/>
    <w:rsid w:val="006F317D"/>
    <w:rsid w:val="006F37B3"/>
    <w:rsid w:val="006F3CF8"/>
    <w:rsid w:val="00702033"/>
    <w:rsid w:val="00714477"/>
    <w:rsid w:val="00715C62"/>
    <w:rsid w:val="00720308"/>
    <w:rsid w:val="00726E44"/>
    <w:rsid w:val="00732687"/>
    <w:rsid w:val="00754C4F"/>
    <w:rsid w:val="007766DF"/>
    <w:rsid w:val="00785AD5"/>
    <w:rsid w:val="007869C3"/>
    <w:rsid w:val="00790CC7"/>
    <w:rsid w:val="00794668"/>
    <w:rsid w:val="007A73CB"/>
    <w:rsid w:val="007B4EE0"/>
    <w:rsid w:val="007C095C"/>
    <w:rsid w:val="007E5AF3"/>
    <w:rsid w:val="007F5FBF"/>
    <w:rsid w:val="007F7246"/>
    <w:rsid w:val="008671DA"/>
    <w:rsid w:val="00873F08"/>
    <w:rsid w:val="00880761"/>
    <w:rsid w:val="00884B1B"/>
    <w:rsid w:val="00891423"/>
    <w:rsid w:val="00892D28"/>
    <w:rsid w:val="008A14D4"/>
    <w:rsid w:val="008A7BDD"/>
    <w:rsid w:val="008B5B85"/>
    <w:rsid w:val="008D71E9"/>
    <w:rsid w:val="008E67CB"/>
    <w:rsid w:val="008E7DD3"/>
    <w:rsid w:val="0090639A"/>
    <w:rsid w:val="0091041C"/>
    <w:rsid w:val="009207A4"/>
    <w:rsid w:val="009276C0"/>
    <w:rsid w:val="00932851"/>
    <w:rsid w:val="00950330"/>
    <w:rsid w:val="00951C9D"/>
    <w:rsid w:val="00974790"/>
    <w:rsid w:val="00985E68"/>
    <w:rsid w:val="00987AA6"/>
    <w:rsid w:val="00996148"/>
    <w:rsid w:val="00996D25"/>
    <w:rsid w:val="009A4708"/>
    <w:rsid w:val="009B5159"/>
    <w:rsid w:val="009C6EAA"/>
    <w:rsid w:val="009D3CD0"/>
    <w:rsid w:val="009F1B6F"/>
    <w:rsid w:val="00A41FDA"/>
    <w:rsid w:val="00A426AD"/>
    <w:rsid w:val="00A442D1"/>
    <w:rsid w:val="00A5354F"/>
    <w:rsid w:val="00A70691"/>
    <w:rsid w:val="00A72557"/>
    <w:rsid w:val="00A7544B"/>
    <w:rsid w:val="00AB2BB0"/>
    <w:rsid w:val="00AB4C27"/>
    <w:rsid w:val="00AD5635"/>
    <w:rsid w:val="00B02AE5"/>
    <w:rsid w:val="00B12DE2"/>
    <w:rsid w:val="00B21183"/>
    <w:rsid w:val="00B43C54"/>
    <w:rsid w:val="00B504F7"/>
    <w:rsid w:val="00B56CCE"/>
    <w:rsid w:val="00B80AB7"/>
    <w:rsid w:val="00B81B18"/>
    <w:rsid w:val="00B97368"/>
    <w:rsid w:val="00BB78FC"/>
    <w:rsid w:val="00BC52B0"/>
    <w:rsid w:val="00BE28B3"/>
    <w:rsid w:val="00BF0793"/>
    <w:rsid w:val="00C252B4"/>
    <w:rsid w:val="00C25583"/>
    <w:rsid w:val="00C257D1"/>
    <w:rsid w:val="00C35409"/>
    <w:rsid w:val="00C36A41"/>
    <w:rsid w:val="00C6168D"/>
    <w:rsid w:val="00C63CAD"/>
    <w:rsid w:val="00C75298"/>
    <w:rsid w:val="00C75A1C"/>
    <w:rsid w:val="00C902C7"/>
    <w:rsid w:val="00CA3799"/>
    <w:rsid w:val="00CA3B14"/>
    <w:rsid w:val="00CB353A"/>
    <w:rsid w:val="00CC3F76"/>
    <w:rsid w:val="00CE1984"/>
    <w:rsid w:val="00CE5958"/>
    <w:rsid w:val="00CE6571"/>
    <w:rsid w:val="00CF07C7"/>
    <w:rsid w:val="00D27C36"/>
    <w:rsid w:val="00D3061A"/>
    <w:rsid w:val="00D44BB7"/>
    <w:rsid w:val="00D55197"/>
    <w:rsid w:val="00D7665F"/>
    <w:rsid w:val="00D7747E"/>
    <w:rsid w:val="00D83536"/>
    <w:rsid w:val="00D91368"/>
    <w:rsid w:val="00D94683"/>
    <w:rsid w:val="00DC6611"/>
    <w:rsid w:val="00DE4417"/>
    <w:rsid w:val="00DF13C3"/>
    <w:rsid w:val="00DF3697"/>
    <w:rsid w:val="00E12A39"/>
    <w:rsid w:val="00E376F3"/>
    <w:rsid w:val="00E50CF8"/>
    <w:rsid w:val="00E54AAD"/>
    <w:rsid w:val="00E6580D"/>
    <w:rsid w:val="00E87C8C"/>
    <w:rsid w:val="00E9465F"/>
    <w:rsid w:val="00EA46A5"/>
    <w:rsid w:val="00EA5EB4"/>
    <w:rsid w:val="00ED5F2B"/>
    <w:rsid w:val="00ED7706"/>
    <w:rsid w:val="00F03570"/>
    <w:rsid w:val="00F23C57"/>
    <w:rsid w:val="00F26C98"/>
    <w:rsid w:val="00F42422"/>
    <w:rsid w:val="00F92CBE"/>
    <w:rsid w:val="00F96DFE"/>
    <w:rsid w:val="00FB2318"/>
    <w:rsid w:val="00FD0C4A"/>
    <w:rsid w:val="00FD170B"/>
    <w:rsid w:val="00FF1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120E05"/>
  <w15:docId w15:val="{E587157E-12C5-49A0-8332-048DF24E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67CB"/>
    <w:rPr>
      <w:rFonts w:ascii="Arial" w:hAnsi="Arial"/>
      <w:sz w:val="22"/>
      <w:szCs w:val="24"/>
      <w:lang w:eastAsia="en-US"/>
    </w:rPr>
  </w:style>
  <w:style w:type="paragraph" w:styleId="Heading1">
    <w:name w:val="heading 1"/>
    <w:aliases w:val="Centre"/>
    <w:basedOn w:val="Normal"/>
    <w:next w:val="Normal"/>
    <w:qFormat/>
    <w:rsid w:val="00200CB7"/>
    <w:pPr>
      <w:keepNext/>
      <w:jc w:val="center"/>
      <w:outlineLvl w:val="0"/>
    </w:pPr>
    <w:rPr>
      <w:rFonts w:cs="Arial"/>
      <w:b/>
      <w:bCs/>
      <w:caps/>
      <w:kern w:val="32"/>
      <w:sz w:val="28"/>
      <w:szCs w:val="32"/>
    </w:rPr>
  </w:style>
  <w:style w:type="paragraph" w:styleId="Heading2">
    <w:name w:val="heading 2"/>
    <w:aliases w:val="Left"/>
    <w:basedOn w:val="Normal"/>
    <w:next w:val="Normal"/>
    <w:qFormat/>
    <w:rsid w:val="00CE6571"/>
    <w:pPr>
      <w:keepNext/>
      <w:outlineLvl w:val="1"/>
    </w:pPr>
    <w:rPr>
      <w:rFonts w:cs="Arial"/>
      <w:b/>
      <w:bCs/>
      <w:iCs/>
      <w:caps/>
      <w:szCs w:val="28"/>
    </w:rPr>
  </w:style>
  <w:style w:type="paragraph" w:styleId="Heading3">
    <w:name w:val="heading 3"/>
    <w:aliases w:val="Sub"/>
    <w:basedOn w:val="Normal"/>
    <w:next w:val="Normal"/>
    <w:qFormat/>
    <w:rsid w:val="00CE6571"/>
    <w:pPr>
      <w:keepNext/>
      <w:outlineLvl w:val="2"/>
    </w:pPr>
    <w:rPr>
      <w:rFonts w:cs="Arial"/>
      <w:b/>
      <w:bCs/>
      <w:szCs w:val="26"/>
    </w:rPr>
  </w:style>
  <w:style w:type="paragraph" w:styleId="Heading4">
    <w:name w:val="heading 4"/>
    <w:basedOn w:val="Normal"/>
    <w:next w:val="Normal"/>
    <w:qFormat/>
    <w:rsid w:val="00CE6571"/>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B02AE5"/>
    <w:pPr>
      <w:numPr>
        <w:ilvl w:val="4"/>
        <w:numId w:val="12"/>
      </w:numPr>
      <w:spacing w:before="240" w:after="60"/>
      <w:outlineLvl w:val="4"/>
    </w:pPr>
    <w:rPr>
      <w:b/>
      <w:bCs/>
      <w:i/>
      <w:iCs/>
      <w:sz w:val="26"/>
      <w:szCs w:val="26"/>
    </w:rPr>
  </w:style>
  <w:style w:type="paragraph" w:styleId="Heading6">
    <w:name w:val="heading 6"/>
    <w:basedOn w:val="Normal"/>
    <w:next w:val="Normal"/>
    <w:qFormat/>
    <w:rsid w:val="00B02AE5"/>
    <w:pPr>
      <w:numPr>
        <w:ilvl w:val="5"/>
        <w:numId w:val="12"/>
      </w:numPr>
      <w:spacing w:before="240" w:after="60"/>
      <w:outlineLvl w:val="5"/>
    </w:pPr>
    <w:rPr>
      <w:rFonts w:ascii="Times New Roman" w:hAnsi="Times New Roman"/>
      <w:b/>
      <w:bCs/>
      <w:szCs w:val="22"/>
    </w:rPr>
  </w:style>
  <w:style w:type="paragraph" w:styleId="Heading7">
    <w:name w:val="heading 7"/>
    <w:basedOn w:val="Normal"/>
    <w:next w:val="Normal"/>
    <w:qFormat/>
    <w:rsid w:val="00B02AE5"/>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B02AE5"/>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B02AE5"/>
    <w:pPr>
      <w:numPr>
        <w:ilvl w:val="8"/>
        <w:numId w:val="1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87A22"/>
    <w:pPr>
      <w:tabs>
        <w:tab w:val="center" w:pos="4153"/>
        <w:tab w:val="right" w:pos="8306"/>
      </w:tabs>
    </w:pPr>
  </w:style>
  <w:style w:type="table" w:styleId="TableGrid">
    <w:name w:val="Table Grid"/>
    <w:basedOn w:val="TableNormal"/>
    <w:rsid w:val="00131EC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style>
  <w:style w:type="paragraph" w:styleId="Footer">
    <w:name w:val="footer"/>
    <w:basedOn w:val="Normal"/>
    <w:rsid w:val="00487A22"/>
    <w:pPr>
      <w:tabs>
        <w:tab w:val="center" w:pos="4153"/>
        <w:tab w:val="right" w:pos="8306"/>
      </w:tabs>
    </w:pPr>
  </w:style>
  <w:style w:type="paragraph" w:customStyle="1" w:styleId="TSHeadingNumbered1">
    <w:name w:val="TS Heading Numbered 1"/>
    <w:basedOn w:val="Normal"/>
    <w:rsid w:val="005E13C2"/>
    <w:pPr>
      <w:numPr>
        <w:numId w:val="12"/>
      </w:numPr>
      <w:spacing w:after="220"/>
      <w:outlineLvl w:val="0"/>
    </w:pPr>
    <w:rPr>
      <w:rFonts w:ascii="Arial Bold" w:hAnsi="Arial Bold"/>
      <w:b/>
      <w:caps/>
    </w:rPr>
  </w:style>
  <w:style w:type="paragraph" w:customStyle="1" w:styleId="TSHeadingNumbered11">
    <w:name w:val="TS Heading Numbered 1.1"/>
    <w:basedOn w:val="TSHeadingNumbered1"/>
    <w:rsid w:val="00B02AE5"/>
    <w:pPr>
      <w:numPr>
        <w:ilvl w:val="1"/>
      </w:numPr>
    </w:pPr>
  </w:style>
  <w:style w:type="paragraph" w:customStyle="1" w:styleId="TSHeadingNumbered111">
    <w:name w:val="TS Heading Numbered 1.1.1"/>
    <w:basedOn w:val="TSHeadingNumbered1"/>
    <w:rsid w:val="00B02AE5"/>
    <w:pPr>
      <w:numPr>
        <w:ilvl w:val="2"/>
      </w:numPr>
    </w:pPr>
  </w:style>
  <w:style w:type="paragraph" w:customStyle="1" w:styleId="TSHeadingNumbered1111">
    <w:name w:val="TS Heading Numbered 1.1.1.1"/>
    <w:basedOn w:val="TSHeadingNumbered1"/>
    <w:rsid w:val="00B02AE5"/>
    <w:pPr>
      <w:numPr>
        <w:ilvl w:val="3"/>
      </w:numPr>
    </w:pPr>
  </w:style>
  <w:style w:type="character" w:styleId="Hyperlink">
    <w:name w:val="Hyperlink"/>
    <w:uiPriority w:val="99"/>
    <w:rsid w:val="009B5159"/>
    <w:rPr>
      <w:color w:val="0000FF"/>
      <w:u w:val="single"/>
    </w:rPr>
  </w:style>
  <w:style w:type="paragraph" w:customStyle="1" w:styleId="TSNumberedParagraph11">
    <w:name w:val="TS Numbered Paragraph 1.1"/>
    <w:basedOn w:val="TSHeadingNumbered11"/>
    <w:rsid w:val="005E13C2"/>
    <w:rPr>
      <w:rFonts w:ascii="Arial" w:hAnsi="Arial"/>
      <w:b w:val="0"/>
      <w:caps w:val="0"/>
    </w:rPr>
  </w:style>
  <w:style w:type="character" w:customStyle="1" w:styleId="TSExampleText">
    <w:name w:val="TS Example Text"/>
    <w:rsid w:val="009B5159"/>
    <w:rPr>
      <w:i/>
      <w:iCs/>
      <w:color w:val="006D68"/>
    </w:rPr>
  </w:style>
  <w:style w:type="paragraph" w:styleId="TOC1">
    <w:name w:val="toc 1"/>
    <w:basedOn w:val="Normal"/>
    <w:next w:val="Normal"/>
    <w:autoRedefine/>
    <w:uiPriority w:val="39"/>
    <w:rsid w:val="009A4708"/>
    <w:pPr>
      <w:tabs>
        <w:tab w:val="right" w:leader="dot" w:pos="8789"/>
      </w:tabs>
      <w:spacing w:after="120"/>
      <w:ind w:left="360" w:right="395" w:hanging="360"/>
    </w:pPr>
    <w:rPr>
      <w:caps/>
    </w:rPr>
  </w:style>
  <w:style w:type="paragraph" w:customStyle="1" w:styleId="TSBullet1Square">
    <w:name w:val="TS Bullet 1 Square"/>
    <w:basedOn w:val="Normal"/>
    <w:rsid w:val="00B504F7"/>
    <w:pPr>
      <w:numPr>
        <w:numId w:val="16"/>
      </w:numPr>
      <w:spacing w:after="240"/>
      <w:contextualSpacing/>
    </w:pPr>
  </w:style>
  <w:style w:type="paragraph" w:customStyle="1" w:styleId="TSBullet2Circle">
    <w:name w:val="TS Bullet 2 Circle"/>
    <w:basedOn w:val="TSBullet1Square"/>
    <w:rsid w:val="00B504F7"/>
    <w:pPr>
      <w:numPr>
        <w:numId w:val="17"/>
      </w:numPr>
    </w:pPr>
  </w:style>
  <w:style w:type="character" w:styleId="FollowedHyperlink">
    <w:name w:val="FollowedHyperlink"/>
    <w:rsid w:val="006061E1"/>
    <w:rPr>
      <w:color w:val="800080"/>
      <w:u w:val="single"/>
    </w:rPr>
  </w:style>
  <w:style w:type="paragraph" w:styleId="DocumentMap">
    <w:name w:val="Document Map"/>
    <w:basedOn w:val="Normal"/>
    <w:semiHidden/>
    <w:rsid w:val="005E13C2"/>
    <w:pPr>
      <w:shd w:val="clear" w:color="auto" w:fill="000080"/>
    </w:pPr>
    <w:rPr>
      <w:rFonts w:ascii="Tahoma" w:hAnsi="Tahoma" w:cs="Tahoma"/>
      <w:sz w:val="20"/>
      <w:szCs w:val="20"/>
    </w:rPr>
  </w:style>
  <w:style w:type="character" w:customStyle="1" w:styleId="HeaderChar">
    <w:name w:val="Header Char"/>
    <w:link w:val="Header"/>
    <w:semiHidden/>
    <w:locked/>
    <w:rsid w:val="00FD170B"/>
    <w:rPr>
      <w:rFonts w:ascii="Arial" w:hAnsi="Arial"/>
      <w:sz w:val="22"/>
      <w:szCs w:val="24"/>
      <w:lang w:val="en-GB" w:eastAsia="en-US" w:bidi="ar-SA"/>
    </w:rPr>
  </w:style>
  <w:style w:type="paragraph" w:styleId="BalloonText">
    <w:name w:val="Balloon Text"/>
    <w:basedOn w:val="Normal"/>
    <w:link w:val="BalloonTextChar"/>
    <w:rsid w:val="00CB353A"/>
    <w:rPr>
      <w:rFonts w:ascii="Tahoma" w:hAnsi="Tahoma" w:cs="Tahoma"/>
      <w:sz w:val="16"/>
      <w:szCs w:val="16"/>
    </w:rPr>
  </w:style>
  <w:style w:type="character" w:customStyle="1" w:styleId="BalloonTextChar">
    <w:name w:val="Balloon Text Char"/>
    <w:link w:val="BalloonText"/>
    <w:rsid w:val="00CB353A"/>
    <w:rPr>
      <w:rFonts w:ascii="Tahoma" w:hAnsi="Tahoma" w:cs="Tahoma"/>
      <w:sz w:val="16"/>
      <w:szCs w:val="16"/>
      <w:lang w:eastAsia="en-US"/>
    </w:rPr>
  </w:style>
  <w:style w:type="paragraph" w:customStyle="1" w:styleId="NumberedHeading">
    <w:name w:val="Numbered Heading"/>
    <w:basedOn w:val="Normal"/>
    <w:rsid w:val="00FB2318"/>
    <w:pPr>
      <w:keepNext/>
      <w:numPr>
        <w:numId w:val="19"/>
      </w:numPr>
      <w:tabs>
        <w:tab w:val="clear" w:pos="-31680"/>
        <w:tab w:val="num" w:pos="360"/>
      </w:tabs>
      <w:overflowPunct w:val="0"/>
      <w:autoSpaceDE w:val="0"/>
      <w:autoSpaceDN w:val="0"/>
      <w:adjustRightInd w:val="0"/>
      <w:spacing w:after="240"/>
      <w:ind w:left="0" w:firstLine="0"/>
      <w:textAlignment w:val="baseline"/>
    </w:pPr>
    <w:rPr>
      <w:rFonts w:ascii="Arial Bold" w:hAnsi="Arial Bold" w:cs="Arial"/>
      <w:b/>
      <w:bCs/>
      <w:caps/>
      <w:color w:val="000000"/>
      <w:szCs w:val="20"/>
    </w:rPr>
  </w:style>
  <w:style w:type="paragraph" w:customStyle="1" w:styleId="NumberedParagraph">
    <w:name w:val="Numbered Paragraph"/>
    <w:basedOn w:val="Normal"/>
    <w:link w:val="NumberedParagraphChar"/>
    <w:rsid w:val="00FB2318"/>
    <w:pPr>
      <w:numPr>
        <w:ilvl w:val="1"/>
        <w:numId w:val="19"/>
      </w:numPr>
      <w:spacing w:after="240"/>
      <w:jc w:val="both"/>
    </w:pPr>
    <w:rPr>
      <w:rFonts w:cs="Arial"/>
      <w:szCs w:val="22"/>
    </w:rPr>
  </w:style>
  <w:style w:type="character" w:customStyle="1" w:styleId="NumberedParagraphChar">
    <w:name w:val="Numbered Paragraph Char"/>
    <w:link w:val="NumberedParagraph"/>
    <w:rsid w:val="00FB2318"/>
    <w:rPr>
      <w:rFonts w:ascii="Arial" w:hAnsi="Arial" w:cs="Arial"/>
      <w:sz w:val="22"/>
      <w:szCs w:val="22"/>
      <w:lang w:eastAsia="en-US"/>
    </w:rPr>
  </w:style>
  <w:style w:type="character" w:styleId="Strong">
    <w:name w:val="Strong"/>
    <w:qFormat/>
    <w:rsid w:val="00FB2318"/>
    <w:rPr>
      <w:rFonts w:ascii="Arial" w:hAnsi="Arial"/>
      <w:b/>
      <w:bCs/>
      <w:sz w:val="22"/>
    </w:rPr>
  </w:style>
  <w:style w:type="character" w:customStyle="1" w:styleId="ONRNormalChar">
    <w:name w:val="ONR Normal Char"/>
    <w:link w:val="ONRNormal"/>
    <w:rsid w:val="00FB2318"/>
    <w:rPr>
      <w:rFonts w:ascii="Arial" w:hAnsi="Arial" w:cs="Arial"/>
      <w:sz w:val="22"/>
      <w:szCs w:val="22"/>
      <w:lang w:eastAsia="en-US"/>
    </w:rPr>
  </w:style>
  <w:style w:type="paragraph" w:customStyle="1" w:styleId="ONRNormal">
    <w:name w:val="ONR Normal"/>
    <w:link w:val="ONRNormalChar"/>
    <w:rsid w:val="00FB2318"/>
    <w:pPr>
      <w:spacing w:after="120"/>
    </w:pPr>
    <w:rPr>
      <w:rFonts w:ascii="Arial" w:hAnsi="Arial" w:cs="Arial"/>
      <w:sz w:val="22"/>
      <w:szCs w:val="22"/>
      <w:lang w:eastAsia="en-US"/>
    </w:rPr>
  </w:style>
  <w:style w:type="paragraph" w:styleId="EndnoteText">
    <w:name w:val="endnote text"/>
    <w:basedOn w:val="Normal"/>
    <w:link w:val="EndnoteTextChar"/>
    <w:rsid w:val="00726E44"/>
    <w:rPr>
      <w:sz w:val="20"/>
      <w:szCs w:val="20"/>
    </w:rPr>
  </w:style>
  <w:style w:type="character" w:customStyle="1" w:styleId="EndnoteTextChar">
    <w:name w:val="Endnote Text Char"/>
    <w:basedOn w:val="DefaultParagraphFont"/>
    <w:link w:val="EndnoteText"/>
    <w:rsid w:val="00726E44"/>
    <w:rPr>
      <w:rFonts w:ascii="Arial" w:hAnsi="Arial"/>
      <w:lang w:eastAsia="en-US"/>
    </w:rPr>
  </w:style>
  <w:style w:type="character" w:styleId="EndnoteReference">
    <w:name w:val="endnote reference"/>
    <w:basedOn w:val="DefaultParagraphFont"/>
    <w:rsid w:val="00726E44"/>
    <w:rPr>
      <w:vertAlign w:val="superscript"/>
    </w:rPr>
  </w:style>
  <w:style w:type="character" w:styleId="CommentReference">
    <w:name w:val="annotation reference"/>
    <w:basedOn w:val="DefaultParagraphFont"/>
    <w:rsid w:val="00331FCF"/>
    <w:rPr>
      <w:sz w:val="16"/>
      <w:szCs w:val="16"/>
    </w:rPr>
  </w:style>
  <w:style w:type="paragraph" w:styleId="CommentText">
    <w:name w:val="annotation text"/>
    <w:basedOn w:val="Normal"/>
    <w:link w:val="CommentTextChar"/>
    <w:rsid w:val="00331FCF"/>
    <w:rPr>
      <w:sz w:val="20"/>
      <w:szCs w:val="20"/>
    </w:rPr>
  </w:style>
  <w:style w:type="character" w:customStyle="1" w:styleId="CommentTextChar">
    <w:name w:val="Comment Text Char"/>
    <w:basedOn w:val="DefaultParagraphFont"/>
    <w:link w:val="CommentText"/>
    <w:rsid w:val="00331FCF"/>
    <w:rPr>
      <w:rFonts w:ascii="Arial" w:hAnsi="Arial"/>
      <w:lang w:eastAsia="en-US"/>
    </w:rPr>
  </w:style>
  <w:style w:type="paragraph" w:styleId="CommentSubject">
    <w:name w:val="annotation subject"/>
    <w:basedOn w:val="CommentText"/>
    <w:next w:val="CommentText"/>
    <w:link w:val="CommentSubjectChar"/>
    <w:rsid w:val="00331FCF"/>
    <w:rPr>
      <w:b/>
      <w:bCs/>
    </w:rPr>
  </w:style>
  <w:style w:type="character" w:customStyle="1" w:styleId="CommentSubjectChar">
    <w:name w:val="Comment Subject Char"/>
    <w:basedOn w:val="CommentTextChar"/>
    <w:link w:val="CommentSubject"/>
    <w:rsid w:val="00331FCF"/>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4203">
      <w:bodyDiv w:val="1"/>
      <w:marLeft w:val="0"/>
      <w:marRight w:val="0"/>
      <w:marTop w:val="0"/>
      <w:marBottom w:val="0"/>
      <w:divBdr>
        <w:top w:val="none" w:sz="0" w:space="0" w:color="auto"/>
        <w:left w:val="none" w:sz="0" w:space="0" w:color="auto"/>
        <w:bottom w:val="none" w:sz="0" w:space="0" w:color="auto"/>
        <w:right w:val="none" w:sz="0" w:space="0" w:color="auto"/>
      </w:divBdr>
    </w:div>
    <w:div w:id="580607568">
      <w:bodyDiv w:val="1"/>
      <w:marLeft w:val="0"/>
      <w:marRight w:val="0"/>
      <w:marTop w:val="0"/>
      <w:marBottom w:val="0"/>
      <w:divBdr>
        <w:top w:val="none" w:sz="0" w:space="0" w:color="auto"/>
        <w:left w:val="none" w:sz="0" w:space="0" w:color="auto"/>
        <w:bottom w:val="none" w:sz="0" w:space="0" w:color="auto"/>
        <w:right w:val="none" w:sz="0" w:space="0" w:color="auto"/>
      </w:divBdr>
    </w:div>
    <w:div w:id="1156721470">
      <w:bodyDiv w:val="1"/>
      <w:marLeft w:val="0"/>
      <w:marRight w:val="0"/>
      <w:marTop w:val="0"/>
      <w:marBottom w:val="0"/>
      <w:divBdr>
        <w:top w:val="none" w:sz="0" w:space="0" w:color="auto"/>
        <w:left w:val="none" w:sz="0" w:space="0" w:color="auto"/>
        <w:bottom w:val="none" w:sz="0" w:space="0" w:color="auto"/>
        <w:right w:val="none" w:sz="0" w:space="0" w:color="auto"/>
      </w:divBdr>
    </w:div>
    <w:div w:id="1214465473">
      <w:bodyDiv w:val="1"/>
      <w:marLeft w:val="0"/>
      <w:marRight w:val="0"/>
      <w:marTop w:val="0"/>
      <w:marBottom w:val="0"/>
      <w:divBdr>
        <w:top w:val="none" w:sz="0" w:space="0" w:color="auto"/>
        <w:left w:val="none" w:sz="0" w:space="0" w:color="auto"/>
        <w:bottom w:val="none" w:sz="0" w:space="0" w:color="auto"/>
        <w:right w:val="none" w:sz="0" w:space="0" w:color="auto"/>
      </w:divBdr>
    </w:div>
    <w:div w:id="1223175901">
      <w:bodyDiv w:val="1"/>
      <w:marLeft w:val="0"/>
      <w:marRight w:val="0"/>
      <w:marTop w:val="0"/>
      <w:marBottom w:val="0"/>
      <w:divBdr>
        <w:top w:val="none" w:sz="0" w:space="0" w:color="auto"/>
        <w:left w:val="none" w:sz="0" w:space="0" w:color="auto"/>
        <w:bottom w:val="none" w:sz="0" w:space="0" w:color="auto"/>
        <w:right w:val="none" w:sz="0" w:space="0" w:color="auto"/>
      </w:divBdr>
    </w:div>
    <w:div w:id="1277521132">
      <w:bodyDiv w:val="1"/>
      <w:marLeft w:val="0"/>
      <w:marRight w:val="0"/>
      <w:marTop w:val="0"/>
      <w:marBottom w:val="0"/>
      <w:divBdr>
        <w:top w:val="none" w:sz="0" w:space="0" w:color="auto"/>
        <w:left w:val="none" w:sz="0" w:space="0" w:color="auto"/>
        <w:bottom w:val="none" w:sz="0" w:space="0" w:color="auto"/>
        <w:right w:val="none" w:sz="0" w:space="0" w:color="auto"/>
      </w:divBdr>
    </w:div>
    <w:div w:id="160310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legislation.gov.uk/uksi/1999/3242/contents/made"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opsi.gov.uk/si/si1999/19993242.htm" TargetMode="Externa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ww.onr.org.uk/copyright" TargetMode="External"/><Relationship Id="rId20" Type="http://schemas.openxmlformats.org/officeDocument/2006/relationships/hyperlink" Target="http://www.hse.gov.uk/nuclear/licensing-nuclear-installations.pd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hse.gov.uk/risk/theory/r2p2.pdf" TargetMode="External"/><Relationship Id="rId5" Type="http://schemas.openxmlformats.org/officeDocument/2006/relationships/settings" Target="settings.xml"/><Relationship Id="rId15" Type="http://schemas.openxmlformats.org/officeDocument/2006/relationships/hyperlink" Target="blocked::blocked::BLOCKED::http://www.hse.gov.uk/copyright" TargetMode="External"/><Relationship Id="rId23" Type="http://schemas.openxmlformats.org/officeDocument/2006/relationships/hyperlink" Target="http://www-pub.iaea.org/MTCD/Publications/PDF/Pub1273_web.pdf" TargetMode="External"/><Relationship Id="rId10" Type="http://schemas.openxmlformats.org/officeDocument/2006/relationships/header" Target="header2.xml"/><Relationship Id="rId19" Type="http://schemas.openxmlformats.org/officeDocument/2006/relationships/hyperlink" Target="http://services.parliament.uk/bills/2012-13/energy.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wenra.org/media/filer_public/2014/05/08/wgwd_storage_report_final.pdf"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8A96B-C060-4FBD-97C1-06FFBEA46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3823</Words>
  <Characters>21794</Characters>
  <Application>Microsoft Office Word</Application>
  <DocSecurity>4</DocSecurity>
  <Lines>181</Lines>
  <Paragraphs>51</Paragraphs>
  <ScaleCrop>false</ScaleCrop>
  <HeadingPairs>
    <vt:vector size="2" baseType="variant">
      <vt:variant>
        <vt:lpstr>Title</vt:lpstr>
      </vt:variant>
      <vt:variant>
        <vt:i4>1</vt:i4>
      </vt:variant>
    </vt:vector>
  </HeadingPairs>
  <TitlesOfParts>
    <vt:vector size="1" baseType="lpstr">
      <vt:lpstr>Document Type:</vt:lpstr>
    </vt:vector>
  </TitlesOfParts>
  <Company>Health and Safety Executive</Company>
  <LinksUpToDate>false</LinksUpToDate>
  <CharactersWithSpaces>25566</CharactersWithSpaces>
  <SharedDoc>false</SharedDoc>
  <HLinks>
    <vt:vector size="66" baseType="variant">
      <vt:variant>
        <vt:i4>393306</vt:i4>
      </vt:variant>
      <vt:variant>
        <vt:i4>57</vt:i4>
      </vt:variant>
      <vt:variant>
        <vt:i4>0</vt:i4>
      </vt:variant>
      <vt:variant>
        <vt:i4>5</vt:i4>
      </vt:variant>
      <vt:variant>
        <vt:lpwstr>http://www.onr.org.uk/saps/index.htm</vt:lpwstr>
      </vt:variant>
      <vt:variant>
        <vt:lpwstr/>
      </vt:variant>
      <vt:variant>
        <vt:i4>7536673</vt:i4>
      </vt:variant>
      <vt:variant>
        <vt:i4>54</vt:i4>
      </vt:variant>
      <vt:variant>
        <vt:i4>0</vt:i4>
      </vt:variant>
      <vt:variant>
        <vt:i4>5</vt:i4>
      </vt:variant>
      <vt:variant>
        <vt:lpwstr>http://www.onr.org.uk/copyright</vt:lpwstr>
      </vt:variant>
      <vt:variant>
        <vt:lpwstr/>
      </vt:variant>
      <vt:variant>
        <vt:i4>7143466</vt:i4>
      </vt:variant>
      <vt:variant>
        <vt:i4>51</vt:i4>
      </vt:variant>
      <vt:variant>
        <vt:i4>0</vt:i4>
      </vt:variant>
      <vt:variant>
        <vt:i4>5</vt:i4>
      </vt:variant>
      <vt:variant>
        <vt:lpwstr>blocked::blocked::BLOCKED::http://www.hse.gov.uk/copyright</vt:lpwstr>
      </vt:variant>
      <vt:variant>
        <vt:lpwstr/>
      </vt:variant>
      <vt:variant>
        <vt:i4>1900593</vt:i4>
      </vt:variant>
      <vt:variant>
        <vt:i4>44</vt:i4>
      </vt:variant>
      <vt:variant>
        <vt:i4>0</vt:i4>
      </vt:variant>
      <vt:variant>
        <vt:i4>5</vt:i4>
      </vt:variant>
      <vt:variant>
        <vt:lpwstr/>
      </vt:variant>
      <vt:variant>
        <vt:lpwstr>_Toc384030520</vt:lpwstr>
      </vt:variant>
      <vt:variant>
        <vt:i4>1966129</vt:i4>
      </vt:variant>
      <vt:variant>
        <vt:i4>38</vt:i4>
      </vt:variant>
      <vt:variant>
        <vt:i4>0</vt:i4>
      </vt:variant>
      <vt:variant>
        <vt:i4>5</vt:i4>
      </vt:variant>
      <vt:variant>
        <vt:lpwstr/>
      </vt:variant>
      <vt:variant>
        <vt:lpwstr>_Toc384030519</vt:lpwstr>
      </vt:variant>
      <vt:variant>
        <vt:i4>1966129</vt:i4>
      </vt:variant>
      <vt:variant>
        <vt:i4>32</vt:i4>
      </vt:variant>
      <vt:variant>
        <vt:i4>0</vt:i4>
      </vt:variant>
      <vt:variant>
        <vt:i4>5</vt:i4>
      </vt:variant>
      <vt:variant>
        <vt:lpwstr/>
      </vt:variant>
      <vt:variant>
        <vt:lpwstr>_Toc384030518</vt:lpwstr>
      </vt:variant>
      <vt:variant>
        <vt:i4>1966129</vt:i4>
      </vt:variant>
      <vt:variant>
        <vt:i4>26</vt:i4>
      </vt:variant>
      <vt:variant>
        <vt:i4>0</vt:i4>
      </vt:variant>
      <vt:variant>
        <vt:i4>5</vt:i4>
      </vt:variant>
      <vt:variant>
        <vt:lpwstr/>
      </vt:variant>
      <vt:variant>
        <vt:lpwstr>_Toc384030517</vt:lpwstr>
      </vt:variant>
      <vt:variant>
        <vt:i4>1966129</vt:i4>
      </vt:variant>
      <vt:variant>
        <vt:i4>20</vt:i4>
      </vt:variant>
      <vt:variant>
        <vt:i4>0</vt:i4>
      </vt:variant>
      <vt:variant>
        <vt:i4>5</vt:i4>
      </vt:variant>
      <vt:variant>
        <vt:lpwstr/>
      </vt:variant>
      <vt:variant>
        <vt:lpwstr>_Toc384030516</vt:lpwstr>
      </vt:variant>
      <vt:variant>
        <vt:i4>1966129</vt:i4>
      </vt:variant>
      <vt:variant>
        <vt:i4>14</vt:i4>
      </vt:variant>
      <vt:variant>
        <vt:i4>0</vt:i4>
      </vt:variant>
      <vt:variant>
        <vt:i4>5</vt:i4>
      </vt:variant>
      <vt:variant>
        <vt:lpwstr/>
      </vt:variant>
      <vt:variant>
        <vt:lpwstr>_Toc384030515</vt:lpwstr>
      </vt:variant>
      <vt:variant>
        <vt:i4>1966129</vt:i4>
      </vt:variant>
      <vt:variant>
        <vt:i4>8</vt:i4>
      </vt:variant>
      <vt:variant>
        <vt:i4>0</vt:i4>
      </vt:variant>
      <vt:variant>
        <vt:i4>5</vt:i4>
      </vt:variant>
      <vt:variant>
        <vt:lpwstr/>
      </vt:variant>
      <vt:variant>
        <vt:lpwstr>_Toc384030514</vt:lpwstr>
      </vt:variant>
      <vt:variant>
        <vt:i4>1966129</vt:i4>
      </vt:variant>
      <vt:variant>
        <vt:i4>2</vt:i4>
      </vt:variant>
      <vt:variant>
        <vt:i4>0</vt:i4>
      </vt:variant>
      <vt:variant>
        <vt:i4>5</vt:i4>
      </vt:variant>
      <vt:variant>
        <vt:lpwstr/>
      </vt:variant>
      <vt:variant>
        <vt:lpwstr>_Toc384030513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Type:</dc:title>
  <dc:creator>Pam Paul</dc:creator>
  <cp:lastModifiedBy>Gary Hull</cp:lastModifiedBy>
  <cp:revision>2</cp:revision>
  <cp:lastPrinted>2019-04-04T12:29:00Z</cp:lastPrinted>
  <dcterms:created xsi:type="dcterms:W3CDTF">2022-12-22T10:01:00Z</dcterms:created>
  <dcterms:modified xsi:type="dcterms:W3CDTF">2022-12-22T10:01:00Z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9e5e003a-90eb-47c9-a506-ad47e7a0b281_Enabled">
    <vt:lpwstr>true</vt:lpwstr>
  </property>
  <property fmtid="{D5CDD505-2E9C-101B-9397-08002B2CF9AE}" pid="4" name="MSIP_Label_9e5e003a-90eb-47c9-a506-ad47e7a0b281_SetDate">
    <vt:lpwstr>2022-11-30T14:30:03Z</vt:lpwstr>
  </property>
  <property fmtid="{D5CDD505-2E9C-101B-9397-08002B2CF9AE}" pid="5" name="MSIP_Label_9e5e003a-90eb-47c9-a506-ad47e7a0b281_Method">
    <vt:lpwstr>Privileged</vt:lpwstr>
  </property>
  <property fmtid="{D5CDD505-2E9C-101B-9397-08002B2CF9AE}" pid="6" name="MSIP_Label_9e5e003a-90eb-47c9-a506-ad47e7a0b281_Name">
    <vt:lpwstr>OFFICIAL</vt:lpwstr>
  </property>
  <property fmtid="{D5CDD505-2E9C-101B-9397-08002B2CF9AE}" pid="7" name="MSIP_Label_9e5e003a-90eb-47c9-a506-ad47e7a0b281_SiteId">
    <vt:lpwstr>742775df-8077-48d6-81d0-1e82a1f52cb8</vt:lpwstr>
  </property>
  <property fmtid="{D5CDD505-2E9C-101B-9397-08002B2CF9AE}" pid="8" name="MSIP_Label_9e5e003a-90eb-47c9-a506-ad47e7a0b281_ActionId">
    <vt:lpwstr>d8e0aa77-d175-4f6a-91fa-2cbbd8de922d</vt:lpwstr>
  </property>
  <property fmtid="{D5CDD505-2E9C-101B-9397-08002B2CF9AE}" pid="9" name="MSIP_Label_9e5e003a-90eb-47c9-a506-ad47e7a0b281_ContentBits">
    <vt:lpwstr>0</vt:lpwstr>
  </property>
</Properties>
</file>