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671008" w:rsidRPr="00762ED8" w14:paraId="085645F5" w14:textId="77777777" w:rsidTr="00AE1DC2">
        <w:trPr>
          <w:cantSplit/>
        </w:trPr>
        <w:tc>
          <w:tcPr>
            <w:tcW w:w="5815" w:type="dxa"/>
          </w:tcPr>
          <w:p w14:paraId="5C3D3EEC" w14:textId="77777777" w:rsidR="00671008" w:rsidRPr="00186195" w:rsidRDefault="00671008" w:rsidP="00AE1DC2">
            <w:pPr>
              <w:rPr>
                <w:snapToGrid/>
                <w:lang w:val="en-GB" w:eastAsia="en-GB"/>
              </w:rPr>
            </w:pPr>
          </w:p>
        </w:tc>
        <w:tc>
          <w:tcPr>
            <w:tcW w:w="3630" w:type="dxa"/>
          </w:tcPr>
          <w:p w14:paraId="34A3BB54" w14:textId="66A8539B" w:rsidR="00671008" w:rsidRPr="00762ED8" w:rsidRDefault="004E50CF" w:rsidP="00AE1DC2">
            <w:pPr>
              <w:widowControl/>
              <w:rPr>
                <w:rFonts w:cs="Arial"/>
                <w:snapToGrid/>
                <w:lang w:val="en-GB" w:eastAsia="en-GB"/>
              </w:rPr>
            </w:pPr>
            <w:bookmarkStart w:id="0" w:name="competentAuthorityLogo"/>
            <w:r>
              <w:rPr>
                <w:rFonts w:cs="Arial"/>
                <w:noProof/>
                <w:snapToGrid/>
                <w:lang w:val="en-GB" w:eastAsia="en-GB"/>
              </w:rPr>
              <w:drawing>
                <wp:inline distT="0" distB="0" distL="0" distR="0" wp14:anchorId="00D40BEE" wp14:editId="1EEF8AB0">
                  <wp:extent cx="2158365" cy="2310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70C68392" w14:textId="3DF368FB" w:rsidR="00671008" w:rsidRPr="00762ED8" w:rsidRDefault="00671008" w:rsidP="00671008">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"${currentDate?date?string('dd MMMM yyyy')}" </w:instrText>
      </w:r>
      <w:r>
        <w:rPr>
          <w:rFonts w:cs="Arial"/>
          <w:snapToGrid/>
          <w:lang w:val="en-GB" w:eastAsia="en-GB"/>
        </w:rPr>
        <w:fldChar w:fldCharType="separate"/>
      </w:r>
      <w:r>
        <w:rPr>
          <w:rFonts w:cs="Arial"/>
          <w:noProof/>
          <w:snapToGrid/>
          <w:lang w:val="en-GB" w:eastAsia="en-GB"/>
        </w:rPr>
        <w:t>«${currentDate?date?string('dd MMMM yyyy'»</w:t>
      </w:r>
      <w:r>
        <w:rPr>
          <w:rFonts w:cs="Arial"/>
          <w:snapToGrid/>
          <w:lang w:val="en-GB" w:eastAsia="en-GB"/>
        </w:rPr>
        <w:fldChar w:fldCharType="end"/>
      </w:r>
    </w:p>
    <w:p w14:paraId="0AB26164" w14:textId="31877FF4" w:rsidR="00671008" w:rsidRPr="00671008" w:rsidRDefault="00671008" w:rsidP="00671008">
      <w:pPr>
        <w:widowControl/>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p>
    <w:p w14:paraId="784EFBC9" w14:textId="1BF92B38" w:rsidR="00671008" w:rsidRPr="00762ED8" w:rsidRDefault="00671008" w:rsidP="00671008">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${params.toRecipient}  \* MERGEFORMAT </w:instrText>
      </w:r>
      <w:r>
        <w:rPr>
          <w:rFonts w:cs="Arial"/>
          <w:snapToGrid/>
          <w:lang w:val="en-GB" w:eastAsia="en-GB"/>
        </w:rPr>
        <w:fldChar w:fldCharType="separate"/>
      </w:r>
      <w:r>
        <w:rPr>
          <w:rFonts w:cs="Arial"/>
          <w:noProof/>
          <w:snapToGrid/>
          <w:lang w:val="en-GB" w:eastAsia="en-GB"/>
        </w:rPr>
        <w:t>«${params.toRecipient}»</w:t>
      </w:r>
      <w:r>
        <w:rPr>
          <w:rFonts w:cs="Arial"/>
          <w:snapToGrid/>
          <w:lang w:val="en-GB" w:eastAsia="en-GB"/>
        </w:rPr>
        <w:fldChar w:fldCharType="end"/>
      </w:r>
    </w:p>
    <w:p w14:paraId="091E52A5" w14:textId="77777777" w:rsidR="00671008" w:rsidRPr="00762ED8" w:rsidRDefault="00671008" w:rsidP="00671008">
      <w:pPr>
        <w:widowControl/>
        <w:jc w:val="both"/>
        <w:rPr>
          <w:rFonts w:cs="Arial"/>
          <w:snapToGrid/>
          <w:lang w:val="en-GB" w:eastAsia="en-GB"/>
        </w:rPr>
      </w:pPr>
    </w:p>
    <w:p w14:paraId="6B554AE5" w14:textId="3120EBDF" w:rsidR="00671008" w:rsidRDefault="00671008" w:rsidP="00671008">
      <w:pPr>
        <w:widowControl/>
        <w:autoSpaceDE w:val="0"/>
        <w:autoSpaceDN w:val="0"/>
        <w:adjustRightInd w:val="0"/>
        <w:rPr>
          <w:rFonts w:cs="Arial"/>
          <w:snapToGrid/>
          <w:sz w:val="22"/>
          <w:szCs w:val="22"/>
          <w:lang w:val="en-GB" w:eastAsia="en-GB"/>
        </w:rPr>
      </w:pPr>
      <w:r>
        <w:rPr>
          <w:rFonts w:cs="Arial"/>
          <w:snapToGrid/>
          <w:sz w:val="22"/>
          <w:szCs w:val="22"/>
          <w:lang w:val="en-GB" w:eastAsia="en-GB"/>
        </w:rPr>
        <w:t xml:space="preserve">FAO: </w:t>
      </w:r>
      <w:r>
        <w:rPr>
          <w:rFonts w:cs="Arial"/>
          <w:snapToGrid/>
          <w:sz w:val="22"/>
          <w:szCs w:val="22"/>
          <w:lang w:val="en-GB" w:eastAsia="en-GB"/>
        </w:rPr>
        <w:fldChar w:fldCharType="begin"/>
      </w:r>
      <w:r>
        <w:rPr>
          <w:rFonts w:cs="Arial"/>
          <w:snapToGrid/>
          <w:sz w:val="22"/>
          <w:szCs w:val="22"/>
          <w:lang w:val="en-GB" w:eastAsia="en-GB"/>
        </w:rPr>
        <w:instrText xml:space="preserve"> MERGEFIELD  ${(account.serviceContact)!}  \* MERGEFORMAT </w:instrText>
      </w:r>
      <w:r>
        <w:rPr>
          <w:rFonts w:cs="Arial"/>
          <w:snapToGrid/>
          <w:sz w:val="22"/>
          <w:szCs w:val="22"/>
          <w:lang w:val="en-GB" w:eastAsia="en-GB"/>
        </w:rPr>
        <w:fldChar w:fldCharType="separate"/>
      </w:r>
      <w:r>
        <w:rPr>
          <w:rFonts w:cs="Arial"/>
          <w:noProof/>
          <w:snapToGrid/>
          <w:sz w:val="22"/>
          <w:szCs w:val="22"/>
          <w:lang w:val="en-GB" w:eastAsia="en-GB"/>
        </w:rPr>
        <w:t>«${(account.serviceContact)!}»</w:t>
      </w:r>
      <w:r>
        <w:rPr>
          <w:rFonts w:cs="Arial"/>
          <w:snapToGrid/>
          <w:sz w:val="22"/>
          <w:szCs w:val="22"/>
          <w:lang w:val="en-GB" w:eastAsia="en-GB"/>
        </w:rPr>
        <w:fldChar w:fldCharType="end"/>
      </w:r>
    </w:p>
    <w:p w14:paraId="422733EB" w14:textId="77777777" w:rsidR="00671008" w:rsidRDefault="00671008" w:rsidP="00671008">
      <w:pPr>
        <w:widowControl/>
        <w:autoSpaceDE w:val="0"/>
        <w:autoSpaceDN w:val="0"/>
        <w:adjustRightInd w:val="0"/>
        <w:rPr>
          <w:rFonts w:cs="Arial"/>
          <w:snapToGrid/>
          <w:sz w:val="22"/>
          <w:szCs w:val="22"/>
          <w:lang w:val="en-GB" w:eastAsia="en-GB"/>
        </w:rPr>
      </w:pPr>
      <w:r>
        <w:rPr>
          <w:rFonts w:cs="Arial"/>
          <w:snapToGrid/>
          <w:sz w:val="22"/>
          <w:szCs w:val="22"/>
          <w:lang w:val="en-GB" w:eastAsia="en-GB"/>
        </w:rPr>
        <w:t>Dear Sir / Madam</w:t>
      </w:r>
    </w:p>
    <w:p w14:paraId="74FF9A9B" w14:textId="77777777" w:rsidR="00671008" w:rsidRPr="00D11F16" w:rsidRDefault="00671008" w:rsidP="00671008">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0CDB1D27" w14:textId="62B3E1BB" w:rsidR="00671008" w:rsidRPr="00762ED8" w:rsidRDefault="00671008" w:rsidP="00671008">
      <w:pPr>
        <w:widowControl/>
        <w:outlineLvl w:val="0"/>
        <w:rPr>
          <w:rFonts w:cs="Arial"/>
          <w:snapToGrid/>
          <w:lang w:val="en-GB" w:eastAsia="en-GB"/>
        </w:rPr>
      </w:pPr>
      <w:r w:rsidRPr="00762ED8">
        <w:rPr>
          <w:rFonts w:cs="Arial"/>
          <w:b/>
          <w:snapToGrid/>
          <w:lang w:val="en-GB" w:eastAsia="en-GB"/>
        </w:rPr>
        <w:t xml:space="preserve">Permit </w:t>
      </w:r>
      <w:r>
        <w:rPr>
          <w:rFonts w:cs="Arial"/>
          <w:b/>
          <w:snapToGrid/>
          <w:lang w:val="en-GB" w:eastAsia="en-GB"/>
        </w:rPr>
        <w:t>reference</w:t>
      </w:r>
      <w:r w:rsidRPr="00762ED8">
        <w:rPr>
          <w:rFonts w:cs="Arial"/>
          <w:b/>
          <w:snapToGrid/>
          <w:lang w:val="en-GB" w:eastAsia="en-GB"/>
        </w:rPr>
        <w:t>:</w:t>
      </w:r>
      <w:r w:rsidRPr="00762ED8">
        <w:rPr>
          <w:rFonts w:cs="Arial"/>
          <w:snapToGrid/>
          <w:lang w:val="en-GB" w:eastAsia="en-GB"/>
        </w:rPr>
        <w:t xml:space="preserve"> </w:t>
      </w:r>
      <w:r>
        <w:rPr>
          <w:rFonts w:cs="Arial"/>
          <w:lang w:eastAsia="en-GB"/>
        </w:rPr>
        <w:fldChar w:fldCharType="begin"/>
      </w:r>
      <w:r>
        <w:rPr>
          <w:rFonts w:cs="Arial"/>
          <w:lang w:eastAsia="en-GB"/>
        </w:rPr>
        <w:instrText xml:space="preserve"> MERGEFIELD  ${(permitId)!}  \* MERGEFORMAT </w:instrText>
      </w:r>
      <w:r>
        <w:rPr>
          <w:rFonts w:cs="Arial"/>
          <w:lang w:eastAsia="en-GB"/>
        </w:rPr>
        <w:fldChar w:fldCharType="separate"/>
      </w:r>
      <w:r>
        <w:rPr>
          <w:rFonts w:cs="Arial"/>
          <w:noProof/>
          <w:lang w:eastAsia="en-GB"/>
        </w:rPr>
        <w:t>«${(permitId)!}»</w:t>
      </w:r>
      <w:r>
        <w:rPr>
          <w:rFonts w:cs="Arial"/>
          <w:lang w:eastAsia="en-GB"/>
        </w:rPr>
        <w:fldChar w:fldCharType="end"/>
      </w:r>
    </w:p>
    <w:p w14:paraId="4CFA29EC" w14:textId="7C9AB81C" w:rsidR="00671008" w:rsidRPr="00762ED8" w:rsidRDefault="00671008" w:rsidP="00671008">
      <w:pPr>
        <w:widowControl/>
        <w:outlineLvl w:val="0"/>
        <w:rPr>
          <w:rFonts w:cs="Arial"/>
          <w:snapToGrid/>
          <w:lang w:val="en-GB" w:eastAsia="en-GB"/>
        </w:rPr>
      </w:pPr>
      <w:r w:rsidRPr="00762ED8">
        <w:rPr>
          <w:rFonts w:cs="Arial"/>
          <w:b/>
          <w:snapToGrid/>
          <w:lang w:val="en-GB" w:eastAsia="en-GB"/>
        </w:rPr>
        <w:t>Variation</w:t>
      </w:r>
      <w:r>
        <w:rPr>
          <w:rFonts w:cs="Arial"/>
          <w:b/>
          <w:snapToGrid/>
          <w:lang w:val="en-GB" w:eastAsia="en-GB"/>
        </w:rPr>
        <w:t xml:space="preserve"> reference</w:t>
      </w:r>
      <w:r w:rsidRPr="00762ED8">
        <w:rPr>
          <w:rFonts w:cs="Arial"/>
          <w:b/>
          <w:snapToGrid/>
          <w:lang w:val="en-GB" w:eastAsia="en-GB"/>
        </w:rPr>
        <w:t>:</w:t>
      </w:r>
      <w:r w:rsidRPr="00762ED8">
        <w:rPr>
          <w:rFonts w:cs="Arial"/>
          <w:snapToGrid/>
          <w:lang w:val="en-GB" w:eastAsia="en-GB"/>
        </w:rPr>
        <w:t xml:space="preserve"> </w:t>
      </w:r>
      <w:r>
        <w:rPr>
          <w:rFonts w:cs="Arial"/>
          <w:snapToGrid/>
          <w:lang w:val="en-GB" w:eastAsia="en-GB"/>
        </w:rPr>
        <w:fldChar w:fldCharType="begin"/>
      </w:r>
      <w:r>
        <w:rPr>
          <w:rFonts w:cs="Arial"/>
          <w:snapToGrid/>
          <w:lang w:val="en-GB" w:eastAsia="en-GB"/>
        </w:rPr>
        <w:instrText xml:space="preserve"> MERGEFIELD  ${(workflow.requestId)!}  \* MERGEFORMAT </w:instrText>
      </w:r>
      <w:r>
        <w:rPr>
          <w:rFonts w:cs="Arial"/>
          <w:snapToGrid/>
          <w:lang w:val="en-GB" w:eastAsia="en-GB"/>
        </w:rPr>
        <w:fldChar w:fldCharType="separate"/>
      </w:r>
      <w:r>
        <w:rPr>
          <w:rFonts w:cs="Arial"/>
          <w:noProof/>
          <w:snapToGrid/>
          <w:lang w:val="en-GB" w:eastAsia="en-GB"/>
        </w:rPr>
        <w:t>«${(workflow.requestId)!}»</w:t>
      </w:r>
      <w:r>
        <w:rPr>
          <w:rFonts w:cs="Arial"/>
          <w:snapToGrid/>
          <w:lang w:val="en-GB" w:eastAsia="en-GB"/>
        </w:rPr>
        <w:fldChar w:fldCharType="end"/>
      </w:r>
    </w:p>
    <w:p w14:paraId="34272AE3" w14:textId="6E7D61A1" w:rsidR="00671008" w:rsidRDefault="00671008" w:rsidP="00671008">
      <w:pPr>
        <w:ind w:right="144"/>
        <w:jc w:val="both"/>
      </w:pPr>
      <w:r w:rsidRPr="00762ED8">
        <w:t xml:space="preserve">Further to your application dated </w:t>
      </w:r>
      <w:fldSimple w:instr=" MERGEFIELD  ${workflow.requestSubmissionDate?date?string('dd/MM/yyyy')} ">
        <w:r w:rsidR="00743217">
          <w:rPr>
            <w:noProof/>
          </w:rPr>
          <w:t>«${workflow.requestSubmissionDate?date?st»</w:t>
        </w:r>
      </w:fldSimple>
      <w:r w:rsidRPr="00762ED8">
        <w:t xml:space="preserve"> for a variation of your permit under the </w:t>
      </w:r>
      <w:r>
        <w:t>Order</w:t>
      </w:r>
      <w:r w:rsidRPr="00762ED8">
        <w:t xml:space="preserve">,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762ED8">
        <w:t xml:space="preserve"> has </w:t>
      </w:r>
      <w:r>
        <w:t>determined your application</w:t>
      </w:r>
      <w:r w:rsidRPr="00762ED8">
        <w:t xml:space="preserve"> as set out below.</w:t>
      </w:r>
    </w:p>
    <w:p w14:paraId="5A289E1E" w14:textId="6EC8FFC9" w:rsidR="00221BB1" w:rsidRDefault="00000000" w:rsidP="00671008">
      <w:pPr>
        <w:ind w:right="144"/>
        <w:jc w:val="both"/>
      </w:pPr>
      <w:fldSimple w:instr=" MERGEFIELD  ${params.officialNotice}  \* MERGEFORMAT ">
        <w:r w:rsidR="004E50CF">
          <w:rPr>
            <w:noProof/>
          </w:rPr>
          <w:t>«${params.officialNotice}»</w:t>
        </w:r>
      </w:fldSimple>
    </w:p>
    <w:p w14:paraId="21C3483A" w14:textId="13128293" w:rsidR="00671008" w:rsidRPr="00762ED8" w:rsidRDefault="00671008" w:rsidP="00671008">
      <w:pPr>
        <w:ind w:right="144"/>
        <w:jc w:val="both"/>
      </w:pPr>
      <w:r w:rsidRPr="00762ED8">
        <w:t xml:space="preserve">You have the right to appeal against this decision. Please refer to the </w:t>
      </w:r>
      <w:r>
        <w:t>notes section of this notice</w:t>
      </w:r>
      <w:r w:rsidRPr="00762ED8">
        <w:t xml:space="preserve"> for details of the appeal process. </w:t>
      </w:r>
    </w:p>
    <w:p w14:paraId="5BB6A01A" w14:textId="199455F4" w:rsidR="00671008" w:rsidRPr="00762ED8" w:rsidRDefault="00671008" w:rsidP="00671008">
      <w:pPr>
        <w:jc w:val="both"/>
        <w:rPr>
          <w:rFonts w:cs="Arial"/>
        </w:rPr>
      </w:pPr>
      <w:r w:rsidRPr="00762ED8">
        <w:rPr>
          <w:rFonts w:cs="Arial"/>
        </w:rPr>
        <w:t xml:space="preserve">If you require any clarification of the above, please do not hesitate to contact a member of the Emissions Trading Team either directly or by e-mail to </w:t>
      </w:r>
      <w:r>
        <w:rPr>
          <w:rFonts w:cs="Arial"/>
        </w:rPr>
        <w:fldChar w:fldCharType="begin"/>
      </w:r>
      <w:r>
        <w:rPr>
          <w:rFonts w:cs="Arial"/>
        </w:rPr>
        <w:instrText xml:space="preserve"> MERGEFIELD  ${competentAuthority.email}  \* MERGEFORMAT </w:instrText>
      </w:r>
      <w:r>
        <w:rPr>
          <w:rFonts w:cs="Arial"/>
        </w:rPr>
        <w:fldChar w:fldCharType="separate"/>
      </w:r>
      <w:r>
        <w:rPr>
          <w:rFonts w:cs="Arial"/>
          <w:noProof/>
        </w:rPr>
        <w:t>«${competentAuthority.email}»</w:t>
      </w:r>
      <w:r>
        <w:rPr>
          <w:rFonts w:cs="Arial"/>
        </w:rPr>
        <w:fldChar w:fldCharType="end"/>
      </w:r>
      <w:r w:rsidRPr="00762ED8">
        <w:rPr>
          <w:rFonts w:cs="Arial"/>
        </w:rPr>
        <w:t>.</w:t>
      </w:r>
    </w:p>
    <w:p w14:paraId="0828E6C8" w14:textId="77777777" w:rsidR="00671008" w:rsidRPr="00762ED8" w:rsidRDefault="00671008" w:rsidP="00671008">
      <w:pPr>
        <w:outlineLvl w:val="0"/>
        <w:rPr>
          <w:rFonts w:cs="Arial"/>
        </w:rPr>
      </w:pPr>
      <w:r w:rsidRPr="00762ED8">
        <w:rPr>
          <w:rFonts w:cs="Arial"/>
        </w:rPr>
        <w:t xml:space="preserve">Yours </w:t>
      </w:r>
      <w:r>
        <w:rPr>
          <w:rFonts w:cs="Arial"/>
        </w:rPr>
        <w:t>faithfully</w:t>
      </w:r>
    </w:p>
    <w:p w14:paraId="242A3843" w14:textId="38B2E63E" w:rsidR="00671008" w:rsidRPr="00762ED8" w:rsidRDefault="00CD504E" w:rsidP="00671008">
      <w:pPr>
        <w:rPr>
          <w:rFonts w:cs="Arial"/>
        </w:rPr>
      </w:pPr>
      <w:bookmarkStart w:id="1" w:name="signature"/>
      <w:r>
        <w:rPr>
          <w:rFonts w:cs="Arial"/>
          <w:noProof/>
        </w:rPr>
        <w:drawing>
          <wp:inline distT="0" distB="0" distL="0" distR="0" wp14:anchorId="7CF32303" wp14:editId="0C8DD862">
            <wp:extent cx="1438910" cy="15424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02BD1F43" w14:textId="44286099" w:rsidR="00671008" w:rsidRDefault="00671008" w:rsidP="00671008">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C4010E1" w14:textId="04208649" w:rsidR="00671008" w:rsidRDefault="00671008" w:rsidP="0067100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cs="Arial"/>
        </w:rPr>
        <w:t>CC</w:t>
      </w:r>
      <w:r w:rsidRPr="00D97C3A">
        <w:rPr>
          <w:rFonts w:cs="Arial"/>
        </w:rPr>
        <w:t xml:space="preserve">: </w:t>
      </w:r>
      <w:r>
        <w:rPr>
          <w:rFonts w:cs="Arial"/>
        </w:rPr>
        <w:fldChar w:fldCharType="begin"/>
      </w:r>
      <w:r>
        <w:rPr>
          <w:rFonts w:cs="Arial"/>
        </w:rPr>
        <w:instrText xml:space="preserve"> MERGEFIELD  "[#list params.ccRecipients as cc]"  \* MERGEFORMAT </w:instrText>
      </w:r>
      <w:r>
        <w:rPr>
          <w:rFonts w:cs="Arial"/>
        </w:rPr>
        <w:fldChar w:fldCharType="separate"/>
      </w:r>
      <w:r>
        <w:rPr>
          <w:rFonts w:cs="Arial"/>
          <w:noProof/>
        </w:rPr>
        <w:t>«[#list params.ccRecipients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2C64F44E" w14:textId="60D45237" w:rsidR="00671008" w:rsidRPr="00671008" w:rsidRDefault="00671008" w:rsidP="00671008">
      <w:pPr>
        <w:rPr>
          <w:rFonts w:cs="Arial"/>
          <w:snapToGrid/>
          <w:sz w:val="22"/>
          <w:szCs w:val="22"/>
          <w:lang w:eastAsia="en-GB"/>
        </w:rPr>
      </w:pPr>
    </w:p>
    <w:p w14:paraId="37FD1933" w14:textId="77777777" w:rsidR="00671008" w:rsidRPr="00B47665" w:rsidRDefault="00671008" w:rsidP="00671008">
      <w:pPr>
        <w:pStyle w:val="Heading3nonum"/>
        <w:keepLines w:val="0"/>
        <w:spacing w:before="100" w:line="240" w:lineRule="auto"/>
        <w:outlineLvl w:val="9"/>
        <w:rPr>
          <w:rFonts w:cs="Arial"/>
          <w:b/>
          <w:sz w:val="22"/>
          <w:szCs w:val="22"/>
        </w:rPr>
      </w:pPr>
      <w:r>
        <w:rPr>
          <w:rFonts w:cs="Arial"/>
          <w:sz w:val="22"/>
          <w:szCs w:val="22"/>
          <w:lang w:eastAsia="en-GB"/>
        </w:rPr>
        <w:br w:type="page"/>
      </w:r>
      <w:r w:rsidRPr="00B47665">
        <w:rPr>
          <w:rFonts w:cs="Arial"/>
          <w:b/>
          <w:sz w:val="22"/>
          <w:szCs w:val="22"/>
        </w:rPr>
        <w:lastRenderedPageBreak/>
        <w:t>Notes</w:t>
      </w:r>
    </w:p>
    <w:p w14:paraId="03BC813D" w14:textId="77777777" w:rsidR="00671008" w:rsidRPr="003848D2" w:rsidRDefault="00671008" w:rsidP="00671008">
      <w:pPr>
        <w:rPr>
          <w:b/>
        </w:rPr>
      </w:pPr>
      <w:r w:rsidRPr="00B47665">
        <w:rPr>
          <w:rFonts w:cs="Arial"/>
          <w:b/>
          <w:bCs/>
          <w:snapToGrid/>
          <w:color w:val="000000"/>
          <w:sz w:val="22"/>
          <w:szCs w:val="22"/>
          <w:lang w:eastAsia="en-GB"/>
        </w:rPr>
        <w:t>Appealing this notice</w:t>
      </w:r>
    </w:p>
    <w:p w14:paraId="71B6AE1D" w14:textId="77777777" w:rsidR="00671008" w:rsidRPr="00895989" w:rsidRDefault="00671008" w:rsidP="00671008">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w:t>
      </w:r>
      <w:r w:rsidRPr="00142D61">
        <w:rPr>
          <w:color w:val="000000"/>
          <w:lang w:eastAsia="en-GB"/>
        </w:rPr>
        <w:t xml:space="preserve">under </w:t>
      </w:r>
      <w:r>
        <w:rPr>
          <w:color w:val="000000"/>
          <w:lang w:eastAsia="en-GB"/>
        </w:rPr>
        <w:t>Article 70 of the Order</w:t>
      </w:r>
      <w:r w:rsidRPr="00142D61">
        <w:rPr>
          <w:color w:val="000000"/>
          <w:lang w:eastAsia="en-GB"/>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08428E24" w14:textId="77777777" w:rsidR="00671008" w:rsidRPr="00B47665" w:rsidRDefault="00671008" w:rsidP="00671008">
      <w:pPr>
        <w:widowControl/>
        <w:autoSpaceDE w:val="0"/>
        <w:autoSpaceDN w:val="0"/>
        <w:adjustRightInd w:val="0"/>
        <w:spacing w:before="0" w:after="0"/>
        <w:rPr>
          <w:rFonts w:cs="Arial"/>
          <w:snapToGrid/>
          <w:color w:val="000000"/>
          <w:lang w:eastAsia="en-GB"/>
        </w:rPr>
      </w:pPr>
    </w:p>
    <w:p w14:paraId="7C53BB70" w14:textId="77777777" w:rsidR="00671008" w:rsidRPr="00B47665" w:rsidRDefault="00671008" w:rsidP="00671008">
      <w:pPr>
        <w:widowControl/>
        <w:autoSpaceDE w:val="0"/>
        <w:autoSpaceDN w:val="0"/>
        <w:adjustRightInd w:val="0"/>
        <w:spacing w:before="0" w:after="0"/>
        <w:rPr>
          <w:rFonts w:cs="Arial"/>
          <w:snapToGrid/>
          <w:color w:val="000000"/>
          <w:lang w:eastAsia="en-GB"/>
        </w:rPr>
      </w:pPr>
      <w:r w:rsidRPr="00B47665">
        <w:rPr>
          <w:rFonts w:cs="Arial"/>
          <w:snapToGrid/>
          <w:color w:val="000000"/>
          <w:lang w:eastAsia="en-GB"/>
        </w:rPr>
        <w:t>Hard copy: General Regulatory Chamber, HMCTS, PO Box 9300, Leicester, LE1 8DJ</w:t>
      </w:r>
    </w:p>
    <w:p w14:paraId="334AB904" w14:textId="77777777" w:rsidR="00671008" w:rsidRPr="00B47665" w:rsidRDefault="00671008" w:rsidP="00671008">
      <w:pPr>
        <w:widowControl/>
        <w:autoSpaceDE w:val="0"/>
        <w:autoSpaceDN w:val="0"/>
        <w:adjustRightInd w:val="0"/>
        <w:spacing w:before="0" w:after="0"/>
        <w:rPr>
          <w:rFonts w:cs="Arial"/>
          <w:snapToGrid/>
          <w:color w:val="000000"/>
          <w:lang w:eastAsia="en-GB"/>
        </w:rPr>
      </w:pPr>
    </w:p>
    <w:p w14:paraId="54A895B6" w14:textId="77777777" w:rsidR="00671008" w:rsidRPr="00B47665" w:rsidRDefault="00671008" w:rsidP="00671008">
      <w:pPr>
        <w:widowControl/>
        <w:autoSpaceDE w:val="0"/>
        <w:autoSpaceDN w:val="0"/>
        <w:adjustRightInd w:val="0"/>
        <w:spacing w:before="0" w:after="0"/>
        <w:rPr>
          <w:rFonts w:cs="Arial"/>
          <w:snapToGrid/>
          <w:color w:val="0000FF"/>
          <w:lang w:eastAsia="en-GB"/>
        </w:rPr>
      </w:pPr>
      <w:r w:rsidRPr="00B47665">
        <w:rPr>
          <w:rFonts w:cs="Arial"/>
          <w:snapToGrid/>
          <w:color w:val="000000"/>
          <w:lang w:eastAsia="en-GB"/>
        </w:rPr>
        <w:t xml:space="preserve">or email: </w:t>
      </w:r>
      <w:r w:rsidRPr="009F5CB6">
        <w:rPr>
          <w:rFonts w:cs="Arial"/>
          <w:color w:val="0000FF"/>
        </w:rPr>
        <w:t>grc@justice.gov.uk</w:t>
      </w:r>
    </w:p>
    <w:p w14:paraId="628436FD" w14:textId="77777777" w:rsidR="00671008" w:rsidRPr="00B47665" w:rsidRDefault="00671008" w:rsidP="00671008">
      <w:pPr>
        <w:widowControl/>
        <w:autoSpaceDE w:val="0"/>
        <w:autoSpaceDN w:val="0"/>
        <w:adjustRightInd w:val="0"/>
        <w:spacing w:before="0" w:after="0"/>
        <w:rPr>
          <w:rFonts w:cs="Arial"/>
          <w:snapToGrid/>
          <w:color w:val="000000"/>
          <w:lang w:eastAsia="en-GB"/>
        </w:rPr>
      </w:pPr>
    </w:p>
    <w:p w14:paraId="053E79E1" w14:textId="77777777" w:rsidR="00671008" w:rsidRPr="00B47665" w:rsidRDefault="00671008" w:rsidP="00671008">
      <w:pPr>
        <w:widowControl/>
        <w:autoSpaceDE w:val="0"/>
        <w:autoSpaceDN w:val="0"/>
        <w:adjustRightInd w:val="0"/>
        <w:spacing w:before="0" w:after="0"/>
        <w:rPr>
          <w:rFonts w:cs="Arial"/>
          <w:snapToGrid/>
          <w:color w:val="000000"/>
          <w:lang w:eastAsia="en-GB"/>
        </w:rPr>
      </w:pPr>
      <w:r w:rsidRPr="00B47665">
        <w:rPr>
          <w:rFonts w:cs="Arial"/>
          <w:snapToGrid/>
          <w:color w:val="000000"/>
          <w:lang w:eastAsia="en-GB"/>
        </w:rPr>
        <w:t>The notice of appeal must include:</w:t>
      </w:r>
    </w:p>
    <w:p w14:paraId="48D66AC7"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the name and address of the appellant;</w:t>
      </w:r>
    </w:p>
    <w:p w14:paraId="64CB3D6A"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the name and address of the appellant’s representative (if any);</w:t>
      </w:r>
    </w:p>
    <w:p w14:paraId="640005A4"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an address where documents for the appellant may be sent or delivered;</w:t>
      </w:r>
    </w:p>
    <w:p w14:paraId="6FE54143"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the name and address of any respondent;</w:t>
      </w:r>
    </w:p>
    <w:p w14:paraId="49059BA1"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details of the decision to which the appeals relates;</w:t>
      </w:r>
    </w:p>
    <w:p w14:paraId="773045BA"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the result the appellant is seeking;</w:t>
      </w:r>
    </w:p>
    <w:p w14:paraId="11EFF366"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the grounds on which the appellant relies; and</w:t>
      </w:r>
    </w:p>
    <w:p w14:paraId="3D59493A" w14:textId="77777777" w:rsidR="00671008" w:rsidRPr="00B47665" w:rsidRDefault="00671008" w:rsidP="00671008">
      <w:pPr>
        <w:widowControl/>
        <w:numPr>
          <w:ilvl w:val="0"/>
          <w:numId w:val="1"/>
        </w:numPr>
        <w:autoSpaceDE w:val="0"/>
        <w:autoSpaceDN w:val="0"/>
        <w:adjustRightInd w:val="0"/>
        <w:spacing w:before="0" w:after="0"/>
        <w:ind w:left="709" w:hanging="513"/>
        <w:rPr>
          <w:rFonts w:cs="Arial"/>
          <w:snapToGrid/>
          <w:color w:val="000000"/>
          <w:lang w:eastAsia="en-GB"/>
        </w:rPr>
      </w:pPr>
      <w:r w:rsidRPr="00B47665">
        <w:rPr>
          <w:rFonts w:cs="Arial"/>
          <w:snapToGrid/>
          <w:color w:val="000000"/>
          <w:lang w:eastAsia="en-GB"/>
        </w:rPr>
        <w:t>a copy of any written record of that decision, and any statement of reasons for that decision that the appellant has or can reasonably obtain.</w:t>
      </w:r>
    </w:p>
    <w:p w14:paraId="255B0040" w14:textId="77777777" w:rsidR="00671008" w:rsidRPr="00B47665" w:rsidRDefault="00671008" w:rsidP="00671008">
      <w:pPr>
        <w:rPr>
          <w:rFonts w:cs="Arial"/>
          <w:snapToGrid/>
          <w:color w:val="000000"/>
          <w:lang w:eastAsia="en-GB"/>
        </w:rPr>
      </w:pPr>
      <w:r w:rsidRPr="00B47665">
        <w:rPr>
          <w:rFonts w:cs="Arial"/>
          <w:snapToGrid/>
          <w:color w:val="000000"/>
          <w:lang w:eastAsia="en-GB"/>
        </w:rPr>
        <w:t>You may withdraw an appeal by notifying the First-tier Tribunal at the above address.</w:t>
      </w:r>
    </w:p>
    <w:p w14:paraId="2F256A59" w14:textId="77777777" w:rsidR="00671008" w:rsidRPr="006B61EA" w:rsidRDefault="00671008" w:rsidP="00671008">
      <w:pPr>
        <w:rPr>
          <w:snapToGrid/>
          <w:lang w:eastAsia="en-GB"/>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p w14:paraId="496D9CAB" w14:textId="77777777" w:rsidR="00671008" w:rsidRPr="00186195" w:rsidRDefault="00671008" w:rsidP="00671008">
      <w:pPr>
        <w:widowControl/>
        <w:autoSpaceDE w:val="0"/>
        <w:autoSpaceDN w:val="0"/>
        <w:adjustRightInd w:val="0"/>
        <w:spacing w:before="0" w:after="0"/>
        <w:rPr>
          <w:rFonts w:cs="Arial"/>
        </w:rPr>
      </w:pPr>
    </w:p>
    <w:p w14:paraId="085D6DA3" w14:textId="77777777" w:rsidR="00324E0C" w:rsidRDefault="00324E0C"/>
    <w:sectPr w:rsidR="00324E0C" w:rsidSect="002D65ED">
      <w:footerReference w:type="default" r:id="rId9"/>
      <w:endnotePr>
        <w:numFmt w:val="decimal"/>
      </w:endnotePr>
      <w:pgSz w:w="11906" w:h="16838"/>
      <w:pgMar w:top="1440" w:right="1080" w:bottom="1440" w:left="1080" w:header="14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FB89" w14:textId="77777777" w:rsidR="0040235C" w:rsidRDefault="0040235C" w:rsidP="00671008">
      <w:pPr>
        <w:spacing w:before="0" w:after="0"/>
      </w:pPr>
      <w:r>
        <w:separator/>
      </w:r>
    </w:p>
  </w:endnote>
  <w:endnote w:type="continuationSeparator" w:id="0">
    <w:p w14:paraId="6563F33A" w14:textId="77777777" w:rsidR="0040235C" w:rsidRDefault="0040235C" w:rsidP="006710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18C7" w14:textId="4B5BBD94" w:rsidR="004B42D4" w:rsidRPr="001E45F0" w:rsidRDefault="00671008" w:rsidP="002D65ED">
    <w:pPr>
      <w:pStyle w:val="Footer"/>
      <w:jc w:val="both"/>
      <w:rPr>
        <w:rFonts w:ascii="Arial" w:hAnsi="Arial" w:cs="Arial"/>
        <w:sz w:val="20"/>
      </w:rPr>
    </w:pPr>
    <w:r>
      <w:rPr>
        <w:rFonts w:ascii="Arial" w:hAnsi="Arial" w:cs="Arial"/>
        <w:sz w:val="20"/>
      </w:rPr>
      <w:fldChar w:fldCharType="begin"/>
    </w:r>
    <w:r>
      <w:rPr>
        <w:rFonts w:ascii="Arial" w:hAnsi="Arial" w:cs="Arial"/>
        <w:sz w:val="20"/>
      </w:rPr>
      <w:instrText xml:space="preserve"> MERGEFIELD  ${competentAuthority.email}  \* MERGEFORMAT </w:instrText>
    </w:r>
    <w:r>
      <w:rPr>
        <w:rFonts w:ascii="Arial" w:hAnsi="Arial" w:cs="Arial"/>
        <w:sz w:val="20"/>
      </w:rPr>
      <w:fldChar w:fldCharType="separate"/>
    </w:r>
    <w:r>
      <w:rPr>
        <w:rFonts w:ascii="Arial" w:hAnsi="Arial" w:cs="Arial"/>
        <w:noProof/>
        <w:sz w:val="20"/>
      </w:rPr>
      <w:t>«${competentAuthority.email}»</w:t>
    </w:r>
    <w:r>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0ADB" w14:textId="77777777" w:rsidR="0040235C" w:rsidRDefault="0040235C" w:rsidP="00671008">
      <w:pPr>
        <w:spacing w:before="0" w:after="0"/>
      </w:pPr>
      <w:r>
        <w:separator/>
      </w:r>
    </w:p>
  </w:footnote>
  <w:footnote w:type="continuationSeparator" w:id="0">
    <w:p w14:paraId="6119DFE2" w14:textId="77777777" w:rsidR="0040235C" w:rsidRDefault="0040235C" w:rsidP="0067100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0905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F2"/>
    <w:rsid w:val="000563B6"/>
    <w:rsid w:val="0018294B"/>
    <w:rsid w:val="00221BB1"/>
    <w:rsid w:val="00324E0C"/>
    <w:rsid w:val="0040235C"/>
    <w:rsid w:val="00404423"/>
    <w:rsid w:val="004356F2"/>
    <w:rsid w:val="004E50CF"/>
    <w:rsid w:val="00671008"/>
    <w:rsid w:val="0072770E"/>
    <w:rsid w:val="00743217"/>
    <w:rsid w:val="00766463"/>
    <w:rsid w:val="009F01DB"/>
    <w:rsid w:val="00CD504E"/>
    <w:rsid w:val="00F4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AAF61"/>
  <w15:chartTrackingRefBased/>
  <w15:docId w15:val="{E2B3E1F5-BE64-4B55-B407-5A9B8E85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08"/>
    <w:pPr>
      <w:widowControl w:val="0"/>
      <w:spacing w:before="120" w:after="120" w:line="240" w:lineRule="auto"/>
    </w:pPr>
    <w:rPr>
      <w:rFonts w:ascii="Arial" w:eastAsia="Times New Roman" w:hAnsi="Arial" w:cs="Times New Roman"/>
      <w:snapToGrid w:val="0"/>
      <w:sz w:val="20"/>
      <w:szCs w:val="20"/>
    </w:rPr>
  </w:style>
  <w:style w:type="paragraph" w:styleId="Heading3">
    <w:name w:val="heading 3"/>
    <w:basedOn w:val="Normal"/>
    <w:next w:val="Normal"/>
    <w:link w:val="Heading3Char"/>
    <w:uiPriority w:val="9"/>
    <w:semiHidden/>
    <w:unhideWhenUsed/>
    <w:qFormat/>
    <w:rsid w:val="00671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1008"/>
    <w:pPr>
      <w:tabs>
        <w:tab w:val="center" w:pos="4153"/>
        <w:tab w:val="right" w:pos="8306"/>
      </w:tabs>
    </w:pPr>
    <w:rPr>
      <w:rFonts w:ascii="Times New Roman" w:hAnsi="Times New Roman"/>
      <w:sz w:val="24"/>
    </w:rPr>
  </w:style>
  <w:style w:type="character" w:customStyle="1" w:styleId="FooterChar">
    <w:name w:val="Footer Char"/>
    <w:basedOn w:val="DefaultParagraphFont"/>
    <w:link w:val="Footer"/>
    <w:rsid w:val="00671008"/>
    <w:rPr>
      <w:rFonts w:ascii="Times New Roman" w:eastAsia="Times New Roman" w:hAnsi="Times New Roman" w:cs="Times New Roman"/>
      <w:snapToGrid w:val="0"/>
      <w:sz w:val="24"/>
      <w:szCs w:val="20"/>
    </w:rPr>
  </w:style>
  <w:style w:type="paragraph" w:customStyle="1" w:styleId="Heading3nonum">
    <w:name w:val="Heading 3 nonum"/>
    <w:basedOn w:val="Heading3"/>
    <w:rsid w:val="00671008"/>
    <w:pPr>
      <w:keepNext w:val="0"/>
      <w:widowControl/>
      <w:spacing w:before="120" w:after="120" w:line="270" w:lineRule="exact"/>
    </w:pPr>
    <w:rPr>
      <w:rFonts w:ascii="Arial" w:eastAsia="Times New Roman" w:hAnsi="Arial" w:cs="Times New Roman"/>
      <w:snapToGrid/>
      <w:color w:val="auto"/>
      <w:sz w:val="20"/>
      <w:szCs w:val="20"/>
      <w:lang w:val="en-GB"/>
    </w:rPr>
  </w:style>
  <w:style w:type="character" w:customStyle="1" w:styleId="change">
    <w:name w:val="change"/>
    <w:rsid w:val="00671008"/>
    <w:rPr>
      <w:color w:val="FF0000"/>
    </w:rPr>
  </w:style>
  <w:style w:type="character" w:customStyle="1" w:styleId="Heading3Char">
    <w:name w:val="Heading 3 Char"/>
    <w:basedOn w:val="DefaultParagraphFont"/>
    <w:link w:val="Heading3"/>
    <w:uiPriority w:val="9"/>
    <w:semiHidden/>
    <w:rsid w:val="00671008"/>
    <w:rPr>
      <w:rFonts w:asciiTheme="majorHAnsi" w:eastAsiaTheme="majorEastAsia" w:hAnsiTheme="majorHAnsi" w:cstheme="majorBidi"/>
      <w:snapToGrid w:val="0"/>
      <w:color w:val="1F3763" w:themeColor="accent1" w:themeShade="7F"/>
      <w:sz w:val="24"/>
      <w:szCs w:val="24"/>
    </w:rPr>
  </w:style>
  <w:style w:type="paragraph" w:styleId="Header">
    <w:name w:val="header"/>
    <w:basedOn w:val="Normal"/>
    <w:link w:val="HeaderChar"/>
    <w:uiPriority w:val="99"/>
    <w:unhideWhenUsed/>
    <w:rsid w:val="00671008"/>
    <w:pPr>
      <w:tabs>
        <w:tab w:val="center" w:pos="4680"/>
        <w:tab w:val="right" w:pos="9360"/>
      </w:tabs>
      <w:spacing w:before="0" w:after="0"/>
    </w:pPr>
  </w:style>
  <w:style w:type="character" w:customStyle="1" w:styleId="HeaderChar">
    <w:name w:val="Header Char"/>
    <w:basedOn w:val="DefaultParagraphFont"/>
    <w:link w:val="Header"/>
    <w:uiPriority w:val="99"/>
    <w:rsid w:val="00671008"/>
    <w:rPr>
      <w:rFonts w:ascii="Arial" w:eastAsia="Times New Roman" w:hAnsi="Arial"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8</cp:revision>
  <dcterms:created xsi:type="dcterms:W3CDTF">2022-09-30T12:31:00Z</dcterms:created>
  <dcterms:modified xsi:type="dcterms:W3CDTF">2022-10-03T09:10:00Z</dcterms:modified>
</cp:coreProperties>
</file>