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07A178F4" w14:textId="77777777" w:rsidTr="00F00208">
        <w:trPr>
          <w:cantSplit/>
        </w:trPr>
        <w:tc>
          <w:tcPr>
            <w:tcW w:w="5815" w:type="dxa"/>
          </w:tcPr>
          <w:p w14:paraId="63DC9EB3" w14:textId="77777777" w:rsidR="006F06EE" w:rsidRPr="00BC0369" w:rsidRDefault="006F06EE" w:rsidP="00B96AD8"/>
        </w:tc>
        <w:tc>
          <w:tcPr>
            <w:tcW w:w="3630" w:type="dxa"/>
          </w:tcPr>
          <w:p w14:paraId="21C11724" w14:textId="7848DEB6" w:rsidR="006F06EE" w:rsidRPr="00D85DB1" w:rsidRDefault="008371A9" w:rsidP="00B96AD8">
            <w:bookmarkStart w:id="0" w:name="competentAuthorityLogo"/>
            <w:r w:rsidRPr="00A146E1">
              <w:rPr>
                <w:noProof/>
                <w:lang w:val="el-GR" w:eastAsia="el-GR"/>
              </w:rPr>
              <w:drawing>
                <wp:inline distT="0" distB="0" distL="0" distR="0" wp14:anchorId="332FECE9" wp14:editId="049C3924">
                  <wp:extent cx="2162175" cy="2314575"/>
                  <wp:effectExtent l="0" t="0" r="0" b="0"/>
                  <wp:docPr id="3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6A7E57F" w14:textId="67257656" w:rsidR="009E5976" w:rsidRPr="009E5976" w:rsidRDefault="00670E1B" w:rsidP="009E5976">
      <w:pPr>
        <w:jc w:val="both"/>
      </w:pPr>
      <w:r>
        <w:fldChar w:fldCharType="begin"/>
      </w:r>
      <w:r>
        <w:instrText xml:space="preserve"> MERGEFIELD  "${currentDate?date?string('dd MMMM yyyy')}"  \* MERGEFORMAT </w:instrText>
      </w:r>
      <w:r>
        <w:fldChar w:fldCharType="separate"/>
      </w:r>
      <w:r w:rsidR="00A146E1">
        <w:rPr>
          <w:noProof/>
        </w:rPr>
        <w:t>«${currentDate?date?string('dd MMMM yyyy'»</w:t>
      </w:r>
      <w:r>
        <w:rPr>
          <w:noProof/>
        </w:rPr>
        <w:fldChar w:fldCharType="end"/>
      </w:r>
    </w:p>
    <w:p w14:paraId="721BFBF8" w14:textId="43389745" w:rsidR="009E5976" w:rsidRPr="009E5976" w:rsidRDefault="009E5976" w:rsidP="009E5976">
      <w:pPr>
        <w:jc w:val="both"/>
      </w:pPr>
      <w:r w:rsidRPr="009E5976">
        <w:t xml:space="preserve">Aircraft Operator Name: </w:t>
      </w:r>
      <w:r w:rsidR="00670E1B">
        <w:fldChar w:fldCharType="begin"/>
      </w:r>
      <w:r w:rsidR="00670E1B">
        <w:instrText xml:space="preserve"> MERGEFIELD  ${account.name}  \* MERGEFORMAT </w:instrText>
      </w:r>
      <w:r w:rsidR="00670E1B">
        <w:fldChar w:fldCharType="separate"/>
      </w:r>
      <w:r w:rsidR="00A146E1">
        <w:rPr>
          <w:noProof/>
        </w:rPr>
        <w:t>«${account.name}»</w:t>
      </w:r>
      <w:r w:rsidR="00670E1B">
        <w:rPr>
          <w:noProof/>
        </w:rPr>
        <w:fldChar w:fldCharType="end"/>
      </w:r>
    </w:p>
    <w:p w14:paraId="369E5A32" w14:textId="3F02F67A" w:rsidR="009E5976" w:rsidRPr="009E5976" w:rsidRDefault="009E5976" w:rsidP="009E5976">
      <w:pPr>
        <w:jc w:val="both"/>
      </w:pPr>
      <w:r w:rsidRPr="009E5976">
        <w:t xml:space="preserve">CRCO Identification number: </w:t>
      </w:r>
      <w:r w:rsidR="00670E1B">
        <w:fldChar w:fldCharType="begin"/>
      </w:r>
      <w:r w:rsidR="00670E1B">
        <w:instrText xml:space="preserve"> MERGEFIELD  ${account.crcoCode}  \* MERGEFORMAT </w:instrText>
      </w:r>
      <w:r w:rsidR="00670E1B">
        <w:fldChar w:fldCharType="separate"/>
      </w:r>
      <w:r w:rsidR="00A146E1">
        <w:rPr>
          <w:noProof/>
        </w:rPr>
        <w:t>«${account.crcoCode}»</w:t>
      </w:r>
      <w:r w:rsidR="00670E1B">
        <w:rPr>
          <w:noProof/>
        </w:rPr>
        <w:fldChar w:fldCharType="end"/>
      </w:r>
    </w:p>
    <w:p w14:paraId="73F708CD" w14:textId="35D44CB2" w:rsidR="009E5976" w:rsidRPr="009E5976" w:rsidRDefault="009E5976" w:rsidP="009E5976">
      <w:pPr>
        <w:jc w:val="both"/>
      </w:pPr>
      <w:r w:rsidRPr="009E5976">
        <w:t xml:space="preserve">Emission plan reference: </w:t>
      </w:r>
      <w:r w:rsidR="00670E1B">
        <w:fldChar w:fldCharType="begin"/>
      </w:r>
      <w:r w:rsidR="00670E1B">
        <w:instrText xml:space="preserve"> MERGEFIELD  ${(permitId)!}  \* MERGEFORMAT </w:instrText>
      </w:r>
      <w:r w:rsidR="00670E1B">
        <w:fldChar w:fldCharType="separate"/>
      </w:r>
      <w:r w:rsidR="00A146E1">
        <w:rPr>
          <w:noProof/>
        </w:rPr>
        <w:t>«${(permitId)!}»</w:t>
      </w:r>
      <w:r w:rsidR="00670E1B">
        <w:rPr>
          <w:noProof/>
        </w:rPr>
        <w:fldChar w:fldCharType="end"/>
      </w:r>
    </w:p>
    <w:p w14:paraId="67199C1A" w14:textId="6AEE0FC8" w:rsidR="009E5976" w:rsidRPr="009E5976" w:rsidRDefault="00670E1B" w:rsidP="009E5976">
      <w:pPr>
        <w:jc w:val="both"/>
      </w:pPr>
      <w:r>
        <w:fldChar w:fldCharType="begin"/>
      </w:r>
      <w:r>
        <w:instrText xml:space="preserve"> MERGEFIELD  ${(params.toRecipient)!}  \* MERGEFORMAT </w:instrText>
      </w:r>
      <w:r>
        <w:fldChar w:fldCharType="separate"/>
      </w:r>
      <w:r w:rsidR="00A146E1">
        <w:rPr>
          <w:noProof/>
        </w:rPr>
        <w:t>«${(params.toRecipient)!}»</w:t>
      </w:r>
      <w:r>
        <w:rPr>
          <w:noProof/>
        </w:rPr>
        <w:fldChar w:fldCharType="end"/>
      </w:r>
    </w:p>
    <w:p w14:paraId="5C86868F" w14:textId="454A270B" w:rsidR="009E5976" w:rsidRPr="009E5976" w:rsidRDefault="009E5976" w:rsidP="009E5976">
      <w:pPr>
        <w:jc w:val="both"/>
      </w:pPr>
      <w:r w:rsidRPr="009E5976">
        <w:t xml:space="preserve">FAO </w:t>
      </w:r>
      <w:r w:rsidR="00670E1B">
        <w:fldChar w:fldCharType="begin"/>
      </w:r>
      <w:r w:rsidR="00670E1B">
        <w:instrText xml:space="preserve"> MERGEFIELD  ${account.serviceContact}  \* MERGEFORMAT </w:instrText>
      </w:r>
      <w:r w:rsidR="00670E1B">
        <w:fldChar w:fldCharType="separate"/>
      </w:r>
      <w:r w:rsidR="00A146E1">
        <w:rPr>
          <w:noProof/>
        </w:rPr>
        <w:t>«${account.serviceContact}»</w:t>
      </w:r>
      <w:r w:rsidR="00670E1B">
        <w:rPr>
          <w:noProof/>
        </w:rPr>
        <w:fldChar w:fldCharType="end"/>
      </w:r>
    </w:p>
    <w:p w14:paraId="2FE4F21E" w14:textId="77777777" w:rsidR="009E5976" w:rsidRPr="009E5976" w:rsidRDefault="009E5976" w:rsidP="009E5976">
      <w:pPr>
        <w:jc w:val="both"/>
      </w:pPr>
      <w:r w:rsidRPr="009E5976">
        <w:t>Dear Sir / Madam</w:t>
      </w:r>
    </w:p>
    <w:p w14:paraId="7D293E63" w14:textId="6D89CF68" w:rsidR="006F06EE" w:rsidRPr="00D85DB1" w:rsidRDefault="006F06EE" w:rsidP="00BC0369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 w:rsidR="005D2941">
        <w:rPr>
          <w:b/>
        </w:rPr>
        <w:t>2012</w:t>
      </w:r>
      <w:r w:rsidR="005D2941" w:rsidRPr="00D85DB1">
        <w:rPr>
          <w:b/>
        </w:rPr>
        <w:t xml:space="preserve"> </w:t>
      </w:r>
      <w:r w:rsidRPr="00D85DB1">
        <w:rPr>
          <w:b/>
        </w:rPr>
        <w:t xml:space="preserve">(SI </w:t>
      </w:r>
      <w:r w:rsidR="005D2941">
        <w:rPr>
          <w:b/>
        </w:rPr>
        <w:t>2012</w:t>
      </w:r>
      <w:r w:rsidR="008658D3" w:rsidRPr="00D85DB1">
        <w:rPr>
          <w:b/>
        </w:rPr>
        <w:t xml:space="preserve">, No </w:t>
      </w:r>
      <w:r w:rsidR="00FC5A85">
        <w:rPr>
          <w:b/>
        </w:rPr>
        <w:t>3038</w:t>
      </w:r>
      <w:r w:rsidR="008658D3" w:rsidRPr="00D85DB1">
        <w:rPr>
          <w:b/>
        </w:rPr>
        <w:t>), (</w:t>
      </w:r>
      <w:r w:rsidR="00FC5A85">
        <w:rPr>
          <w:b/>
        </w:rPr>
        <w:t>“</w:t>
      </w:r>
      <w:r w:rsidR="005D2941">
        <w:rPr>
          <w:b/>
        </w:rPr>
        <w:t>the</w:t>
      </w:r>
      <w:r w:rsidR="005D2941" w:rsidRPr="00D85DB1">
        <w:rPr>
          <w:b/>
        </w:rPr>
        <w:t xml:space="preserve"> </w:t>
      </w:r>
      <w:r w:rsidR="008658D3" w:rsidRPr="00D85DB1">
        <w:rPr>
          <w:b/>
        </w:rPr>
        <w:t>Regulations</w:t>
      </w:r>
      <w:r w:rsidR="00FC5A85">
        <w:rPr>
          <w:b/>
        </w:rPr>
        <w:t>”</w:t>
      </w:r>
      <w:r w:rsidR="008658D3" w:rsidRPr="00D85DB1">
        <w:rPr>
          <w:b/>
        </w:rPr>
        <w:t>)</w:t>
      </w:r>
    </w:p>
    <w:p w14:paraId="324B65D6" w14:textId="767442A0" w:rsidR="00AD323E" w:rsidRPr="00D85DB1" w:rsidRDefault="006F06EE" w:rsidP="00BC0369">
      <w:pPr>
        <w:jc w:val="both"/>
      </w:pPr>
      <w:r w:rsidRPr="00D85DB1">
        <w:t xml:space="preserve">I refer to </w:t>
      </w:r>
      <w:r w:rsidR="00670E1B">
        <w:fldChar w:fldCharType="begin"/>
      </w:r>
      <w:r w:rsidR="00670E1B">
        <w:instrText xml:space="preserve"> MERGEFIELD  ${workflow.requestTypeInfo}  \* MERGEFORMAT </w:instrText>
      </w:r>
      <w:r w:rsidR="00670E1B">
        <w:fldChar w:fldCharType="separate"/>
      </w:r>
      <w:r w:rsidR="00A146E1">
        <w:rPr>
          <w:noProof/>
        </w:rPr>
        <w:t>«${workflow.requestTypeInfo}»</w:t>
      </w:r>
      <w:r w:rsidR="00670E1B">
        <w:rPr>
          <w:noProof/>
        </w:rPr>
        <w:fldChar w:fldCharType="end"/>
      </w:r>
      <w:r w:rsidRPr="00D85DB1">
        <w:t xml:space="preserve">, received by the </w:t>
      </w:r>
      <w:r w:rsidR="00670E1B">
        <w:fldChar w:fldCharType="begin"/>
      </w:r>
      <w:r w:rsidR="00670E1B">
        <w:instrText xml:space="preserve"> MERGEFIELD  ${competentAuthority.name}  \* MERGEFORMAT </w:instrText>
      </w:r>
      <w:r w:rsidR="00670E1B">
        <w:fldChar w:fldCharType="separate"/>
      </w:r>
      <w:r w:rsidR="00A146E1">
        <w:rPr>
          <w:noProof/>
        </w:rPr>
        <w:t>«${competentAuthority.name}»</w:t>
      </w:r>
      <w:r w:rsidR="00670E1B">
        <w:rPr>
          <w:noProof/>
        </w:rPr>
        <w:fldChar w:fldCharType="end"/>
      </w:r>
      <w:r w:rsidRPr="00D85DB1">
        <w:t xml:space="preserve"> on </w:t>
      </w:r>
      <w:r w:rsidR="00A146E1">
        <w:fldChar w:fldCharType="begin"/>
      </w:r>
      <w:r w:rsidR="00A146E1">
        <w:instrText xml:space="preserve"> MERGEFIELD  ${workflow.requestSubmissionDate?date?string('dd/MM/yyyy')} </w:instrText>
      </w:r>
      <w:r w:rsidR="00A146E1">
        <w:fldChar w:fldCharType="separate"/>
      </w:r>
      <w:r w:rsidR="00A146E1">
        <w:rPr>
          <w:noProof/>
        </w:rPr>
        <w:t>«${workflow.requestSubmissionDate?date?st»</w:t>
      </w:r>
      <w:r w:rsidR="00A146E1">
        <w:fldChar w:fldCharType="end"/>
      </w:r>
      <w:r w:rsidRPr="00D85DB1">
        <w:t xml:space="preserve">. The Regulations require that the </w:t>
      </w:r>
      <w:r w:rsidR="00670E1B">
        <w:fldChar w:fldCharType="begin"/>
      </w:r>
      <w:r w:rsidR="00670E1B">
        <w:instrText xml:space="preserve"> MERGEFIELD </w:instrText>
      </w:r>
      <w:r w:rsidR="00670E1B">
        <w:instrText xml:space="preserve"> ${competentAuthority.name}  \* MERGEFORMAT </w:instrText>
      </w:r>
      <w:r w:rsidR="00670E1B">
        <w:fldChar w:fldCharType="separate"/>
      </w:r>
      <w:r w:rsidR="00A146E1">
        <w:rPr>
          <w:noProof/>
        </w:rPr>
        <w:t>«${competentAuthority.name}»</w:t>
      </w:r>
      <w:r w:rsidR="00670E1B">
        <w:rPr>
          <w:noProof/>
        </w:rPr>
        <w:fldChar w:fldCharType="end"/>
      </w:r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r w:rsidR="00670E1B">
        <w:fldChar w:fldCharType="begin"/>
      </w:r>
      <w:r w:rsidR="00670E1B">
        <w:instrText xml:space="preserve"> MERGEFIELD  ${competentAuthority.name}  \* MERGEFORMAT </w:instrText>
      </w:r>
      <w:r w:rsidR="00670E1B">
        <w:fldChar w:fldCharType="separate"/>
      </w:r>
      <w:r w:rsidR="00A146E1">
        <w:rPr>
          <w:noProof/>
        </w:rPr>
        <w:t>«${competentAuthority.name}»</w:t>
      </w:r>
      <w:r w:rsidR="00670E1B">
        <w:rPr>
          <w:noProof/>
        </w:rPr>
        <w:fldChar w:fldCharType="end"/>
      </w:r>
      <w:r w:rsidRPr="00D85DB1">
        <w:t>.</w:t>
      </w:r>
    </w:p>
    <w:p w14:paraId="118E7E9D" w14:textId="0EF7799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A146E1">
        <w:fldChar w:fldCharType="begin"/>
      </w:r>
      <w:r w:rsidR="00A146E1">
        <w:instrText xml:space="preserve"> MERGEFIELD  "${params.extensionDate?date?string('dd MMMM yyyy')}" </w:instrText>
      </w:r>
      <w:r w:rsidR="00A146E1">
        <w:fldChar w:fldCharType="separate"/>
      </w:r>
      <w:r w:rsidR="00A146E1">
        <w:rPr>
          <w:noProof/>
        </w:rPr>
        <w:t>«${params.extensionDate?date?string('dd M»</w:t>
      </w:r>
      <w:r w:rsidR="00A146E1">
        <w:fldChar w:fldCharType="end"/>
      </w:r>
      <w:r w:rsidRPr="00D85DB1">
        <w:t>.</w:t>
      </w:r>
    </w:p>
    <w:p w14:paraId="229C0589" w14:textId="120EA62F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A146E1">
        <w:fldChar w:fldCharType="begin"/>
      </w:r>
      <w:r w:rsidR="00A146E1">
        <w:instrText xml:space="preserve"> MERGEFIELD  "${params.deadline?date?string('dd MMMM yyyy')}" </w:instrText>
      </w:r>
      <w:r w:rsidR="00A146E1">
        <w:fldChar w:fldCharType="separate"/>
      </w:r>
      <w:r w:rsidR="00A146E1">
        <w:rPr>
          <w:noProof/>
        </w:rPr>
        <w:t>«${params.deadline?date?string('dd MMMM y»</w:t>
      </w:r>
      <w:r w:rsidR="00A146E1">
        <w:fldChar w:fldCharType="end"/>
      </w:r>
      <w:r w:rsidR="0029798A">
        <w:t>.</w:t>
      </w:r>
    </w:p>
    <w:p w14:paraId="568D0A99" w14:textId="68E11B0F" w:rsidR="00AD323E" w:rsidRPr="00D85DB1" w:rsidRDefault="00AD323E" w:rsidP="00BC0369">
      <w:pPr>
        <w:jc w:val="both"/>
      </w:pPr>
      <w:r w:rsidRPr="00D85DB1">
        <w:t xml:space="preserve">If you do not agree to this extension you may, at the end of the determination period, notify the </w:t>
      </w:r>
      <w:r w:rsidR="00670E1B">
        <w:fldChar w:fldCharType="begin"/>
      </w:r>
      <w:r w:rsidR="00670E1B">
        <w:instrText xml:space="preserve"> MERGEFIELD  ${competentAuthority.name}  \* MERGEFORMAT </w:instrText>
      </w:r>
      <w:r w:rsidR="00670E1B">
        <w:fldChar w:fldCharType="separate"/>
      </w:r>
      <w:r w:rsidR="00A146E1">
        <w:rPr>
          <w:noProof/>
        </w:rPr>
        <w:t>«${competentAuthority.name}»</w:t>
      </w:r>
      <w:r w:rsidR="00670E1B">
        <w:rPr>
          <w:noProof/>
        </w:rPr>
        <w:fldChar w:fldCharType="end"/>
      </w:r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7BDC6167" w14:textId="42E015CF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FC5A85">
        <w:t>.</w:t>
      </w:r>
    </w:p>
    <w:p w14:paraId="509193BE" w14:textId="77777777" w:rsidR="006F06EE" w:rsidRPr="00D85DB1" w:rsidRDefault="006F06EE" w:rsidP="00BC0369">
      <w:pPr>
        <w:jc w:val="both"/>
      </w:pPr>
    </w:p>
    <w:p w14:paraId="7BDDCC71" w14:textId="737E60DA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52568E3E" w14:textId="76E90D27" w:rsidR="00A146E1" w:rsidRPr="00D11F16" w:rsidRDefault="008371A9" w:rsidP="003854D2">
      <w:pPr>
        <w:rPr>
          <w:rFonts w:cs="Arial"/>
        </w:rPr>
      </w:pPr>
      <w:bookmarkStart w:id="1" w:name="signature"/>
      <w:r w:rsidRPr="00A146E1">
        <w:rPr>
          <w:noProof/>
          <w:lang w:val="el-GR" w:eastAsia="el-GR"/>
        </w:rPr>
        <w:lastRenderedPageBreak/>
        <w:drawing>
          <wp:inline distT="0" distB="0" distL="0" distR="0" wp14:anchorId="12F13A25" wp14:editId="75EBECD1">
            <wp:extent cx="1438275" cy="1533525"/>
            <wp:effectExtent l="0" t="0" r="0" b="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A3D396E" w14:textId="45EC21F3" w:rsidR="006F06EE" w:rsidRDefault="00A146E1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EDF3C53" w14:textId="7AC1013F" w:rsidR="00334C6C" w:rsidRPr="009E5976" w:rsidRDefault="00670E1B" w:rsidP="003854D2"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334C6C">
        <w:rPr>
          <w:noProof/>
        </w:rPr>
        <w:t>«${signatory.jobTitle}»</w:t>
      </w:r>
      <w:r>
        <w:rPr>
          <w:noProof/>
        </w:rPr>
        <w:fldChar w:fldCharType="end"/>
      </w:r>
    </w:p>
    <w:sectPr w:rsidR="00334C6C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B95A" w14:textId="77777777" w:rsidR="00670E1B" w:rsidRDefault="00670E1B">
      <w:r>
        <w:separator/>
      </w:r>
    </w:p>
  </w:endnote>
  <w:endnote w:type="continuationSeparator" w:id="0">
    <w:p w14:paraId="2919CDFC" w14:textId="77777777" w:rsidR="00670E1B" w:rsidRDefault="0067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EBB2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5C46ED72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4526" w14:textId="77777777" w:rsidR="00670E1B" w:rsidRDefault="00670E1B">
      <w:r>
        <w:separator/>
      </w:r>
    </w:p>
  </w:footnote>
  <w:footnote w:type="continuationSeparator" w:id="0">
    <w:p w14:paraId="60405F0A" w14:textId="77777777" w:rsidR="00670E1B" w:rsidRDefault="0067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7F4"/>
    <w:multiLevelType w:val="multilevel"/>
    <w:tmpl w:val="DABC1A9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29964D4-91EC-4C33-9FBD-2EBE13642B1C}"/>
  </w:docVars>
  <w:rsids>
    <w:rsidRoot w:val="006F06EE"/>
    <w:rsid w:val="00090A85"/>
    <w:rsid w:val="000B3396"/>
    <w:rsid w:val="000E598D"/>
    <w:rsid w:val="001815E7"/>
    <w:rsid w:val="001877DD"/>
    <w:rsid w:val="001C39E6"/>
    <w:rsid w:val="001D3D51"/>
    <w:rsid w:val="0029798A"/>
    <w:rsid w:val="002E710E"/>
    <w:rsid w:val="00334C6C"/>
    <w:rsid w:val="00337F03"/>
    <w:rsid w:val="00355C63"/>
    <w:rsid w:val="00380227"/>
    <w:rsid w:val="003854D2"/>
    <w:rsid w:val="003F738F"/>
    <w:rsid w:val="003F7DA2"/>
    <w:rsid w:val="004815C0"/>
    <w:rsid w:val="005D2941"/>
    <w:rsid w:val="005D38B1"/>
    <w:rsid w:val="005E5405"/>
    <w:rsid w:val="005F0E99"/>
    <w:rsid w:val="005F4CAF"/>
    <w:rsid w:val="00670E1B"/>
    <w:rsid w:val="006A5A0F"/>
    <w:rsid w:val="006F06EE"/>
    <w:rsid w:val="00737A16"/>
    <w:rsid w:val="0077614C"/>
    <w:rsid w:val="007930C6"/>
    <w:rsid w:val="007B0115"/>
    <w:rsid w:val="008371A9"/>
    <w:rsid w:val="008658D3"/>
    <w:rsid w:val="008B6D7C"/>
    <w:rsid w:val="008D0FE6"/>
    <w:rsid w:val="00960616"/>
    <w:rsid w:val="009B7FE1"/>
    <w:rsid w:val="009C50CE"/>
    <w:rsid w:val="009D4D55"/>
    <w:rsid w:val="009E5976"/>
    <w:rsid w:val="00A146E1"/>
    <w:rsid w:val="00A378B6"/>
    <w:rsid w:val="00A75AEC"/>
    <w:rsid w:val="00A76294"/>
    <w:rsid w:val="00A7778B"/>
    <w:rsid w:val="00AB6318"/>
    <w:rsid w:val="00AD323E"/>
    <w:rsid w:val="00AF6DF1"/>
    <w:rsid w:val="00B723FE"/>
    <w:rsid w:val="00B96AD8"/>
    <w:rsid w:val="00BC0369"/>
    <w:rsid w:val="00C253DA"/>
    <w:rsid w:val="00C266C5"/>
    <w:rsid w:val="00C565FD"/>
    <w:rsid w:val="00D2566C"/>
    <w:rsid w:val="00D43147"/>
    <w:rsid w:val="00D60B94"/>
    <w:rsid w:val="00D85DB1"/>
    <w:rsid w:val="00D97E0C"/>
    <w:rsid w:val="00DE2EE3"/>
    <w:rsid w:val="00E104EC"/>
    <w:rsid w:val="00ED39C4"/>
    <w:rsid w:val="00F00208"/>
    <w:rsid w:val="00F05EE5"/>
    <w:rsid w:val="00F5592B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43C5C1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88C8F2-38E1-46DF-869C-7FFFC09C6C16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customXml/itemProps2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2023-06-29T11:35:00Z</dcterms:created>
  <dcterms:modified xsi:type="dcterms:W3CDTF">2023-09-06T08:59:00Z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