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4D0801" w:rsidRPr="00690954" w14:paraId="130B5B65" w14:textId="77777777" w:rsidTr="00707C97">
        <w:trPr>
          <w:cantSplit/>
        </w:trPr>
        <w:tc>
          <w:tcPr>
            <w:tcW w:w="5815" w:type="dxa"/>
          </w:tcPr>
          <w:p w14:paraId="61CD13D8" w14:textId="77777777" w:rsidR="004D0801" w:rsidRPr="00200889" w:rsidRDefault="004D0801" w:rsidP="00707C97">
            <w:pPr>
              <w:rPr>
                <w:snapToGrid/>
                <w:lang w:val="en-GB" w:eastAsia="en-GB"/>
              </w:rPr>
            </w:pPr>
          </w:p>
        </w:tc>
        <w:tc>
          <w:tcPr>
            <w:tcW w:w="3630" w:type="dxa"/>
          </w:tcPr>
          <w:p w14:paraId="137F3B1C" w14:textId="71B61232" w:rsidR="004D0801" w:rsidRPr="00690954" w:rsidRDefault="004D0801" w:rsidP="00707C97">
            <w:pPr>
              <w:rPr>
                <w:snapToGrid/>
                <w:lang w:val="en-GB" w:eastAsia="en-GB"/>
              </w:rPr>
            </w:pPr>
            <w:bookmarkStart w:id="0" w:name="competentAuthorityLogo"/>
            <w:r>
              <w:rPr>
                <w:rFonts w:cs="Arial"/>
                <w:noProof/>
                <w:snapToGrid/>
                <w:lang w:val="en-GB" w:eastAsia="en-GB"/>
              </w:rPr>
              <w:drawing>
                <wp:inline distT="0" distB="0" distL="0" distR="0" wp14:anchorId="70E4F675" wp14:editId="1ACFCEBB">
                  <wp:extent cx="2156460" cy="2313305"/>
                  <wp:effectExtent l="0" t="0" r="0" b="0"/>
                  <wp:docPr id="4" name="Picture 4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Qr cod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6460" cy="2313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51D3CB5E" w14:textId="7B8D5EE6" w:rsidR="004D0801" w:rsidRPr="002E0BE2" w:rsidRDefault="00454E05" w:rsidP="004D0801">
      <w:pPr>
        <w:widowControl/>
        <w:rPr>
          <w:rFonts w:cs="Arial"/>
          <w:snapToGrid/>
          <w:lang w:val="en-GB" w:eastAsia="en-GB"/>
        </w:rPr>
      </w:pPr>
      <w:r>
        <w:rPr>
          <w:rFonts w:cs="Arial"/>
          <w:snapToGrid/>
          <w:lang w:val="en-GB" w:eastAsia="en-GB"/>
        </w:rPr>
        <w:fldChar w:fldCharType="begin"/>
      </w:r>
      <w:r>
        <w:rPr>
          <w:rFonts w:cs="Arial"/>
          <w:snapToGrid/>
          <w:lang w:val="en-GB" w:eastAsia="en-GB"/>
        </w:rPr>
        <w:instrText xml:space="preserve"> MERGEFIELD  "${currentDate?date?string('dd MMMM yyyy')}" </w:instrText>
      </w:r>
      <w:r>
        <w:rPr>
          <w:rFonts w:cs="Arial"/>
          <w:snapToGrid/>
          <w:lang w:val="en-GB" w:eastAsia="en-GB"/>
        </w:rPr>
        <w:fldChar w:fldCharType="separate"/>
      </w:r>
      <w:r>
        <w:rPr>
          <w:rFonts w:cs="Arial"/>
          <w:noProof/>
          <w:snapToGrid/>
          <w:lang w:val="en-GB" w:eastAsia="en-GB"/>
        </w:rPr>
        <w:t>«${currentDate?date?string('dd MMMM yyyy'»</w:t>
      </w:r>
      <w:r>
        <w:rPr>
          <w:rFonts w:cs="Arial"/>
          <w:snapToGrid/>
          <w:lang w:val="en-GB" w:eastAsia="en-GB"/>
        </w:rPr>
        <w:fldChar w:fldCharType="end"/>
      </w:r>
    </w:p>
    <w:p w14:paraId="452DC517" w14:textId="505D0E24" w:rsidR="004D0801" w:rsidRPr="004D0801" w:rsidRDefault="00454E05" w:rsidP="004D0801">
      <w:pPr>
        <w:widowControl/>
        <w:rPr>
          <w:rStyle w:val="change"/>
          <w:rFonts w:cs="Arial"/>
          <w:color w:val="auto"/>
        </w:rPr>
      </w:pPr>
      <w:r>
        <w:rPr>
          <w:rStyle w:val="change"/>
          <w:rFonts w:cs="Arial"/>
          <w:color w:val="auto"/>
        </w:rPr>
        <w:fldChar w:fldCharType="begin"/>
      </w:r>
      <w:r>
        <w:rPr>
          <w:rStyle w:val="change"/>
          <w:rFonts w:cs="Arial"/>
          <w:color w:val="auto"/>
        </w:rPr>
        <w:instrText xml:space="preserve"> MERGEFIELD  ${(account.legalEntityName)!}  \* MERGEFORMAT </w:instrText>
      </w:r>
      <w:r>
        <w:rPr>
          <w:rStyle w:val="change"/>
          <w:rFonts w:cs="Arial"/>
          <w:color w:val="auto"/>
        </w:rPr>
        <w:fldChar w:fldCharType="separate"/>
      </w:r>
      <w:r>
        <w:rPr>
          <w:rStyle w:val="change"/>
          <w:rFonts w:cs="Arial"/>
          <w:noProof/>
          <w:color w:val="auto"/>
        </w:rPr>
        <w:t>«${(account.legalEntityName)!}»</w:t>
      </w:r>
      <w:r>
        <w:rPr>
          <w:rStyle w:val="change"/>
          <w:rFonts w:cs="Arial"/>
          <w:color w:val="auto"/>
        </w:rPr>
        <w:fldChar w:fldCharType="end"/>
      </w:r>
    </w:p>
    <w:p w14:paraId="07EEEB6F" w14:textId="23B29395" w:rsidR="004D0801" w:rsidRPr="002E0BE2" w:rsidRDefault="00454E05" w:rsidP="004D0801">
      <w:pPr>
        <w:widowControl/>
        <w:rPr>
          <w:rFonts w:cs="Arial"/>
          <w:snapToGrid/>
          <w:lang w:val="en-GB" w:eastAsia="en-GB"/>
        </w:rPr>
      </w:pPr>
      <w:r>
        <w:rPr>
          <w:rFonts w:cs="Arial"/>
          <w:snapToGrid/>
          <w:lang w:val="en-GB" w:eastAsia="en-GB"/>
        </w:rPr>
        <w:fldChar w:fldCharType="begin"/>
      </w:r>
      <w:r>
        <w:rPr>
          <w:rFonts w:cs="Arial"/>
          <w:snapToGrid/>
          <w:lang w:val="en-GB" w:eastAsia="en-GB"/>
        </w:rPr>
        <w:instrText xml:space="preserve"> MERGEFIELD  ${params.toRecipient}  \* MERGEFORMAT </w:instrText>
      </w:r>
      <w:r>
        <w:rPr>
          <w:rFonts w:cs="Arial"/>
          <w:snapToGrid/>
          <w:lang w:val="en-GB" w:eastAsia="en-GB"/>
        </w:rPr>
        <w:fldChar w:fldCharType="separate"/>
      </w:r>
      <w:r>
        <w:rPr>
          <w:rFonts w:cs="Arial"/>
          <w:noProof/>
          <w:snapToGrid/>
          <w:lang w:val="en-GB" w:eastAsia="en-GB"/>
        </w:rPr>
        <w:t>«${params.toRecipient}»</w:t>
      </w:r>
      <w:r>
        <w:rPr>
          <w:rFonts w:cs="Arial"/>
          <w:snapToGrid/>
          <w:lang w:val="en-GB" w:eastAsia="en-GB"/>
        </w:rPr>
        <w:fldChar w:fldCharType="end"/>
      </w:r>
    </w:p>
    <w:p w14:paraId="73CAC043" w14:textId="469C220C" w:rsidR="004D0801" w:rsidRPr="002E0BE2" w:rsidRDefault="004D0801" w:rsidP="004D0801">
      <w:pPr>
        <w:widowControl/>
        <w:autoSpaceDE w:val="0"/>
        <w:autoSpaceDN w:val="0"/>
        <w:adjustRightInd w:val="0"/>
        <w:rPr>
          <w:rFonts w:cs="Arial"/>
          <w:snapToGrid/>
          <w:lang w:val="en-GB" w:eastAsia="en-GB"/>
        </w:rPr>
      </w:pPr>
      <w:r w:rsidRPr="002E0BE2">
        <w:rPr>
          <w:rFonts w:cs="Arial"/>
          <w:snapToGrid/>
          <w:lang w:val="en-GB" w:eastAsia="en-GB"/>
        </w:rPr>
        <w:t xml:space="preserve">FAO: </w:t>
      </w:r>
      <w:r w:rsidR="00454E05">
        <w:rPr>
          <w:rFonts w:cs="Arial"/>
          <w:snapToGrid/>
          <w:lang w:val="en-GB" w:eastAsia="en-GB"/>
        </w:rPr>
        <w:fldChar w:fldCharType="begin"/>
      </w:r>
      <w:r w:rsidR="00454E05">
        <w:rPr>
          <w:rFonts w:cs="Arial"/>
          <w:snapToGrid/>
          <w:lang w:val="en-GB" w:eastAsia="en-GB"/>
        </w:rPr>
        <w:instrText xml:space="preserve"> MERGEFIELD  ${(account.serviceContact)!}  \* MERGEFORMAT </w:instrText>
      </w:r>
      <w:r w:rsidR="00454E05">
        <w:rPr>
          <w:rFonts w:cs="Arial"/>
          <w:snapToGrid/>
          <w:lang w:val="en-GB" w:eastAsia="en-GB"/>
        </w:rPr>
        <w:fldChar w:fldCharType="separate"/>
      </w:r>
      <w:r w:rsidR="00454E05">
        <w:rPr>
          <w:rFonts w:cs="Arial"/>
          <w:noProof/>
          <w:snapToGrid/>
          <w:lang w:val="en-GB" w:eastAsia="en-GB"/>
        </w:rPr>
        <w:t>«${(account.serviceContact)!}»</w:t>
      </w:r>
      <w:r w:rsidR="00454E05">
        <w:rPr>
          <w:rFonts w:cs="Arial"/>
          <w:snapToGrid/>
          <w:lang w:val="en-GB" w:eastAsia="en-GB"/>
        </w:rPr>
        <w:fldChar w:fldCharType="end"/>
      </w:r>
    </w:p>
    <w:p w14:paraId="443EBA5C" w14:textId="77777777" w:rsidR="004D0801" w:rsidRPr="002E0BE2" w:rsidRDefault="004D0801" w:rsidP="004D0801">
      <w:pPr>
        <w:jc w:val="both"/>
        <w:rPr>
          <w:rFonts w:cs="Arial"/>
          <w:snapToGrid/>
          <w:lang w:val="en-GB" w:eastAsia="en-GB"/>
        </w:rPr>
      </w:pPr>
      <w:r w:rsidRPr="002E0BE2">
        <w:rPr>
          <w:rFonts w:cs="Arial"/>
          <w:snapToGrid/>
          <w:lang w:val="en-GB" w:eastAsia="en-GB"/>
        </w:rPr>
        <w:t>Dear Sir / Madam</w:t>
      </w:r>
      <w:r w:rsidRPr="002E0BE2" w:rsidDel="00AB6BB7">
        <w:rPr>
          <w:rFonts w:cs="Arial"/>
          <w:snapToGrid/>
          <w:lang w:val="en-GB" w:eastAsia="en-GB"/>
        </w:rPr>
        <w:t xml:space="preserve"> </w:t>
      </w:r>
    </w:p>
    <w:p w14:paraId="3580242E" w14:textId="77777777" w:rsidR="004D0801" w:rsidRPr="002E0BE2" w:rsidRDefault="004D0801" w:rsidP="004D0801">
      <w:pPr>
        <w:jc w:val="both"/>
        <w:rPr>
          <w:rFonts w:cs="Arial"/>
          <w:b/>
          <w:lang w:val="en-GB"/>
        </w:rPr>
      </w:pPr>
      <w:r w:rsidRPr="003E19B1">
        <w:rPr>
          <w:rFonts w:cs="Arial"/>
          <w:b/>
          <w:lang w:val="en-GB"/>
        </w:rPr>
        <w:t xml:space="preserve">THE GREENHOUSE GAS EMISSIONS TRADING </w:t>
      </w:r>
      <w:r>
        <w:rPr>
          <w:rFonts w:cs="Arial"/>
          <w:b/>
          <w:lang w:val="en-GB"/>
        </w:rPr>
        <w:t xml:space="preserve">SCHEME </w:t>
      </w:r>
      <w:r w:rsidRPr="003E19B1">
        <w:rPr>
          <w:rFonts w:cs="Arial"/>
          <w:b/>
          <w:lang w:val="en-GB"/>
        </w:rPr>
        <w:t>ORDER 2020 (SI 2020</w:t>
      </w:r>
      <w:r>
        <w:rPr>
          <w:rFonts w:cs="Arial"/>
          <w:b/>
          <w:lang w:val="en-GB"/>
        </w:rPr>
        <w:t>/</w:t>
      </w:r>
      <w:r w:rsidRPr="003E19B1">
        <w:rPr>
          <w:rFonts w:cs="Arial"/>
          <w:b/>
          <w:lang w:val="en-GB"/>
        </w:rPr>
        <w:t>1265) (the Order)</w:t>
      </w:r>
    </w:p>
    <w:p w14:paraId="0FF8BA80" w14:textId="1A5A0845" w:rsidR="004D0801" w:rsidRPr="002E0BE2" w:rsidRDefault="004D0801" w:rsidP="004D0801">
      <w:pPr>
        <w:widowControl/>
        <w:rPr>
          <w:rFonts w:cs="Arial"/>
          <w:snapToGrid/>
          <w:lang w:val="en-GB" w:eastAsia="en-GB"/>
        </w:rPr>
      </w:pPr>
      <w:r w:rsidRPr="002E0BE2">
        <w:rPr>
          <w:rFonts w:cs="Arial"/>
          <w:b/>
          <w:snapToGrid/>
          <w:lang w:val="en-GB" w:eastAsia="en-GB"/>
        </w:rPr>
        <w:t>Permit reference:</w:t>
      </w:r>
      <w:r w:rsidRPr="002E0BE2">
        <w:rPr>
          <w:rFonts w:cs="Arial"/>
          <w:snapToGrid/>
          <w:lang w:val="en-GB" w:eastAsia="en-GB"/>
        </w:rPr>
        <w:t xml:space="preserve"> </w:t>
      </w:r>
      <w:r w:rsidR="00454E05">
        <w:rPr>
          <w:rFonts w:cs="Arial"/>
          <w:lang w:eastAsia="en-GB"/>
        </w:rPr>
        <w:fldChar w:fldCharType="begin"/>
      </w:r>
      <w:r w:rsidR="00454E05">
        <w:rPr>
          <w:rFonts w:cs="Arial"/>
          <w:lang w:eastAsia="en-GB"/>
        </w:rPr>
        <w:instrText xml:space="preserve"> MERGEFIELD  ${(permitId)!}  \* MERGEFORMAT </w:instrText>
      </w:r>
      <w:r w:rsidR="00454E05">
        <w:rPr>
          <w:rFonts w:cs="Arial"/>
          <w:lang w:eastAsia="en-GB"/>
        </w:rPr>
        <w:fldChar w:fldCharType="separate"/>
      </w:r>
      <w:r w:rsidR="00454E05">
        <w:rPr>
          <w:rFonts w:cs="Arial"/>
          <w:noProof/>
          <w:lang w:eastAsia="en-GB"/>
        </w:rPr>
        <w:t>«${(permitId)!}»</w:t>
      </w:r>
      <w:r w:rsidR="00454E05">
        <w:rPr>
          <w:rFonts w:cs="Arial"/>
          <w:lang w:eastAsia="en-GB"/>
        </w:rPr>
        <w:fldChar w:fldCharType="end"/>
      </w:r>
    </w:p>
    <w:p w14:paraId="54178668" w14:textId="57599611" w:rsidR="004D0801" w:rsidRPr="002E0BE2" w:rsidRDefault="004D0801" w:rsidP="004D0801">
      <w:pPr>
        <w:widowControl/>
        <w:rPr>
          <w:rFonts w:cs="Arial"/>
          <w:snapToGrid/>
          <w:lang w:val="en-GB" w:eastAsia="en-GB"/>
        </w:rPr>
      </w:pPr>
      <w:r w:rsidRPr="00D11F16">
        <w:rPr>
          <w:rFonts w:cs="Arial"/>
          <w:b/>
          <w:snapToGrid/>
          <w:lang w:val="en-GB" w:eastAsia="en-GB"/>
        </w:rPr>
        <w:t>Variation</w:t>
      </w:r>
      <w:r>
        <w:rPr>
          <w:rFonts w:cs="Arial"/>
          <w:b/>
          <w:snapToGrid/>
          <w:lang w:val="en-GB" w:eastAsia="en-GB"/>
        </w:rPr>
        <w:t xml:space="preserve"> reference</w:t>
      </w:r>
      <w:r w:rsidRPr="002E0BE2">
        <w:rPr>
          <w:rFonts w:cs="Arial"/>
          <w:b/>
          <w:snapToGrid/>
          <w:lang w:val="en-GB" w:eastAsia="en-GB"/>
        </w:rPr>
        <w:t>:</w:t>
      </w:r>
      <w:r w:rsidRPr="002E0BE2">
        <w:rPr>
          <w:rFonts w:cs="Arial"/>
          <w:snapToGrid/>
          <w:lang w:val="en-GB" w:eastAsia="en-GB"/>
        </w:rPr>
        <w:t xml:space="preserve"> </w:t>
      </w:r>
      <w:r w:rsidR="00454E05">
        <w:rPr>
          <w:rFonts w:cs="Arial"/>
          <w:snapToGrid/>
          <w:lang w:val="en-GB" w:eastAsia="en-GB"/>
        </w:rPr>
        <w:fldChar w:fldCharType="begin"/>
      </w:r>
      <w:r w:rsidR="00454E05">
        <w:rPr>
          <w:rFonts w:cs="Arial"/>
          <w:snapToGrid/>
          <w:lang w:val="en-GB" w:eastAsia="en-GB"/>
        </w:rPr>
        <w:instrText xml:space="preserve"> MERGEFIELD  ${(workflow.requestId)!}  \* MERGEFORMAT </w:instrText>
      </w:r>
      <w:r w:rsidR="00454E05">
        <w:rPr>
          <w:rFonts w:cs="Arial"/>
          <w:snapToGrid/>
          <w:lang w:val="en-GB" w:eastAsia="en-GB"/>
        </w:rPr>
        <w:fldChar w:fldCharType="separate"/>
      </w:r>
      <w:r w:rsidR="00454E05">
        <w:rPr>
          <w:rFonts w:cs="Arial"/>
          <w:noProof/>
          <w:snapToGrid/>
          <w:lang w:val="en-GB" w:eastAsia="en-GB"/>
        </w:rPr>
        <w:t>«${(workflow.requestId)!}»</w:t>
      </w:r>
      <w:r w:rsidR="00454E05">
        <w:rPr>
          <w:rFonts w:cs="Arial"/>
          <w:snapToGrid/>
          <w:lang w:val="en-GB" w:eastAsia="en-GB"/>
        </w:rPr>
        <w:fldChar w:fldCharType="end"/>
      </w:r>
    </w:p>
    <w:p w14:paraId="258C2FAE" w14:textId="557C5A0C" w:rsidR="004D0801" w:rsidRPr="002E0BE2" w:rsidRDefault="004D0801" w:rsidP="004D0801">
      <w:pPr>
        <w:widowControl/>
        <w:rPr>
          <w:rFonts w:cs="Arial"/>
          <w:lang w:val="en-GB"/>
        </w:rPr>
      </w:pPr>
      <w:r w:rsidRPr="00D11F16">
        <w:rPr>
          <w:rFonts w:cs="Arial"/>
          <w:b/>
          <w:lang w:val="en-GB"/>
        </w:rPr>
        <w:t>Issue of variation notice to</w:t>
      </w:r>
      <w:r w:rsidRPr="002E0BE2">
        <w:rPr>
          <w:rFonts w:cs="Arial"/>
          <w:b/>
          <w:lang w:val="en-GB"/>
        </w:rPr>
        <w:t>:</w:t>
      </w:r>
      <w:r w:rsidRPr="002E0BE2">
        <w:rPr>
          <w:rFonts w:cs="Arial"/>
          <w:lang w:val="en-GB"/>
        </w:rPr>
        <w:t xml:space="preserve"> </w:t>
      </w:r>
      <w:r w:rsidR="00454E05">
        <w:rPr>
          <w:rFonts w:cs="Arial"/>
          <w:lang w:val="en-GB"/>
        </w:rPr>
        <w:fldChar w:fldCharType="begin"/>
      </w:r>
      <w:r w:rsidR="00454E05">
        <w:rPr>
          <w:rFonts w:cs="Arial"/>
          <w:lang w:val="en-GB"/>
        </w:rPr>
        <w:instrText xml:space="preserve"> MERGEFIELD  ${(account.name)!}  \* MERGEFORMAT </w:instrText>
      </w:r>
      <w:r w:rsidR="00454E05">
        <w:rPr>
          <w:rFonts w:cs="Arial"/>
          <w:lang w:val="en-GB"/>
        </w:rPr>
        <w:fldChar w:fldCharType="separate"/>
      </w:r>
      <w:r w:rsidR="00454E05">
        <w:rPr>
          <w:rFonts w:cs="Arial"/>
          <w:noProof/>
          <w:lang w:val="en-GB"/>
        </w:rPr>
        <w:t>«${(account.name)!}»</w:t>
      </w:r>
      <w:r w:rsidR="00454E05">
        <w:rPr>
          <w:rFonts w:cs="Arial"/>
          <w:lang w:val="en-GB"/>
        </w:rPr>
        <w:fldChar w:fldCharType="end"/>
      </w:r>
    </w:p>
    <w:p w14:paraId="0E0DEF45" w14:textId="24103CA9" w:rsidR="004D0801" w:rsidRDefault="004D0801" w:rsidP="004D0801">
      <w:pPr>
        <w:ind w:right="144"/>
        <w:jc w:val="both"/>
        <w:rPr>
          <w:rFonts w:cs="Arial"/>
        </w:rPr>
      </w:pPr>
      <w:r w:rsidRPr="00C23EF4">
        <w:rPr>
          <w:rFonts w:cs="Arial"/>
          <w:lang w:val="en-GB"/>
        </w:rPr>
        <w:t xml:space="preserve">The UK ETS Authority is developing a new digital </w:t>
      </w:r>
      <w:r w:rsidR="00F86A98">
        <w:rPr>
          <w:rFonts w:cs="Arial"/>
          <w:lang w:val="en-GB"/>
        </w:rPr>
        <w:t>reporting and monitoring service</w:t>
      </w:r>
      <w:r>
        <w:rPr>
          <w:rFonts w:cs="Arial"/>
          <w:lang w:val="en-GB"/>
        </w:rPr>
        <w:t xml:space="preserve"> to replace ETSWAP. </w:t>
      </w:r>
      <w:r w:rsidRPr="002E0BE2">
        <w:rPr>
          <w:rFonts w:cs="Arial"/>
          <w:lang w:val="en-GB"/>
        </w:rPr>
        <w:t xml:space="preserve">The </w:t>
      </w:r>
      <w:r w:rsidR="00454E05">
        <w:rPr>
          <w:rFonts w:cs="Arial"/>
          <w:lang w:val="en-GB"/>
        </w:rPr>
        <w:fldChar w:fldCharType="begin"/>
      </w:r>
      <w:r w:rsidR="00454E05">
        <w:rPr>
          <w:rFonts w:cs="Arial"/>
          <w:lang w:val="en-GB"/>
        </w:rPr>
        <w:instrText xml:space="preserve"> MERGEFIELD  ${competentAuthority.name}  \* MERGEFORMAT </w:instrText>
      </w:r>
      <w:r w:rsidR="00454E05">
        <w:rPr>
          <w:rFonts w:cs="Arial"/>
          <w:lang w:val="en-GB"/>
        </w:rPr>
        <w:fldChar w:fldCharType="separate"/>
      </w:r>
      <w:r w:rsidR="00454E05">
        <w:rPr>
          <w:rFonts w:cs="Arial"/>
          <w:noProof/>
          <w:lang w:val="en-GB"/>
        </w:rPr>
        <w:t>«${competentAuthority.name}»</w:t>
      </w:r>
      <w:r w:rsidR="00454E05">
        <w:rPr>
          <w:rFonts w:cs="Arial"/>
          <w:lang w:val="en-GB"/>
        </w:rPr>
        <w:fldChar w:fldCharType="end"/>
      </w:r>
      <w:r w:rsidRPr="002E0BE2">
        <w:rPr>
          <w:rFonts w:cs="Arial"/>
          <w:lang w:val="en-GB"/>
        </w:rPr>
        <w:t xml:space="preserve"> </w:t>
      </w:r>
      <w:r w:rsidRPr="00D11F16">
        <w:rPr>
          <w:rFonts w:cs="Arial"/>
        </w:rPr>
        <w:t xml:space="preserve">has varied </w:t>
      </w:r>
      <w:r>
        <w:rPr>
          <w:rFonts w:cs="Arial"/>
        </w:rPr>
        <w:t xml:space="preserve">your permit to facilitate the migration of your user account onto </w:t>
      </w:r>
      <w:r w:rsidR="00F86A98">
        <w:rPr>
          <w:rFonts w:cs="Arial"/>
        </w:rPr>
        <w:t>the new service</w:t>
      </w:r>
      <w:r>
        <w:rPr>
          <w:rFonts w:cs="Arial"/>
        </w:rPr>
        <w:t xml:space="preserve"> and</w:t>
      </w:r>
      <w:r>
        <w:t xml:space="preserve"> to cover other consequential amendments as set out in the Variation Notice. </w:t>
      </w:r>
      <w:r w:rsidRPr="00D11F16">
        <w:rPr>
          <w:rFonts w:cs="Arial"/>
        </w:rPr>
        <w:t xml:space="preserve">The </w:t>
      </w:r>
      <w:r>
        <w:rPr>
          <w:rFonts w:cs="Arial"/>
        </w:rPr>
        <w:t>V</w:t>
      </w:r>
      <w:r w:rsidRPr="00D11F16">
        <w:rPr>
          <w:rFonts w:cs="Arial"/>
        </w:rPr>
        <w:t xml:space="preserve">ariation </w:t>
      </w:r>
      <w:r>
        <w:rPr>
          <w:rFonts w:cs="Arial"/>
        </w:rPr>
        <w:t>N</w:t>
      </w:r>
      <w:r w:rsidRPr="00D11F16">
        <w:rPr>
          <w:rFonts w:cs="Arial"/>
        </w:rPr>
        <w:t>otice and a consolidated permit are attached to this letter.</w:t>
      </w:r>
    </w:p>
    <w:p w14:paraId="47A0E15D" w14:textId="390B5711" w:rsidR="004D0801" w:rsidRPr="00CC6EAD" w:rsidRDefault="004D0801" w:rsidP="004D0801">
      <w:pPr>
        <w:ind w:right="144"/>
        <w:jc w:val="both"/>
        <w:rPr>
          <w:rFonts w:cs="Arial"/>
          <w:lang w:val="en-GB"/>
        </w:rPr>
      </w:pPr>
      <w:r w:rsidRPr="00CC6EAD">
        <w:rPr>
          <w:rFonts w:cs="Arial"/>
          <w:lang w:val="en-GB"/>
        </w:rPr>
        <w:t xml:space="preserve">The </w:t>
      </w:r>
      <w:r w:rsidR="00F86A98">
        <w:rPr>
          <w:rFonts w:cs="Arial"/>
          <w:lang w:val="en-GB"/>
        </w:rPr>
        <w:t>new ‘Manage your UK ETS reporting’ service</w:t>
      </w:r>
      <w:r w:rsidRPr="00CC6EAD">
        <w:rPr>
          <w:rFonts w:cs="Arial"/>
          <w:lang w:val="en-GB"/>
        </w:rPr>
        <w:t xml:space="preserve"> will launch in phase</w:t>
      </w:r>
      <w:r w:rsidR="00F86A98">
        <w:rPr>
          <w:rFonts w:cs="Arial"/>
          <w:lang w:val="en-GB"/>
        </w:rPr>
        <w:t>s</w:t>
      </w:r>
      <w:r w:rsidRPr="00CC6EAD">
        <w:rPr>
          <w:rFonts w:cs="Arial"/>
          <w:lang w:val="en-GB"/>
        </w:rPr>
        <w:t xml:space="preserve"> from </w:t>
      </w:r>
      <w:r w:rsidR="00F86A98">
        <w:rPr>
          <w:rFonts w:cs="Arial"/>
          <w:lang w:val="en-GB"/>
        </w:rPr>
        <w:t>summer</w:t>
      </w:r>
      <w:r w:rsidRPr="00CC6EAD">
        <w:rPr>
          <w:rFonts w:cs="Arial"/>
          <w:lang w:val="en-GB"/>
        </w:rPr>
        <w:t xml:space="preserve"> 202</w:t>
      </w:r>
      <w:r w:rsidR="00F86A98">
        <w:rPr>
          <w:rFonts w:cs="Arial"/>
          <w:lang w:val="en-GB"/>
        </w:rPr>
        <w:t>3</w:t>
      </w:r>
      <w:r w:rsidRPr="00CC6EAD">
        <w:rPr>
          <w:rFonts w:cs="Arial"/>
          <w:lang w:val="en-GB"/>
        </w:rPr>
        <w:t>.</w:t>
      </w:r>
    </w:p>
    <w:p w14:paraId="01F28894" w14:textId="77777777" w:rsidR="004D0801" w:rsidRPr="00EF4A8A" w:rsidRDefault="004D0801" w:rsidP="004D0801">
      <w:pPr>
        <w:ind w:right="144"/>
        <w:jc w:val="both"/>
        <w:rPr>
          <w:rFonts w:cs="Arial"/>
          <w:strike/>
        </w:rPr>
      </w:pPr>
      <w:r w:rsidRPr="00D11F16">
        <w:rPr>
          <w:rFonts w:cs="Arial"/>
        </w:rPr>
        <w:t xml:space="preserve">The </w:t>
      </w:r>
      <w:r>
        <w:rPr>
          <w:rFonts w:cs="Arial"/>
        </w:rPr>
        <w:t>V</w:t>
      </w:r>
      <w:r w:rsidRPr="00D11F16">
        <w:rPr>
          <w:rFonts w:cs="Arial"/>
        </w:rPr>
        <w:t xml:space="preserve">ariation </w:t>
      </w:r>
      <w:r>
        <w:rPr>
          <w:rFonts w:cs="Arial"/>
        </w:rPr>
        <w:t>N</w:t>
      </w:r>
      <w:r w:rsidRPr="00D11F16">
        <w:rPr>
          <w:rFonts w:cs="Arial"/>
        </w:rPr>
        <w:t>otice and consolidated permit include conditions with which you must comply.</w:t>
      </w:r>
    </w:p>
    <w:p w14:paraId="506E366F" w14:textId="61D011E3" w:rsidR="004D0801" w:rsidRPr="002E0BE2" w:rsidRDefault="004D0801" w:rsidP="004D0801">
      <w:pPr>
        <w:jc w:val="both"/>
        <w:rPr>
          <w:rFonts w:cs="Arial"/>
          <w:lang w:val="en-GB"/>
        </w:rPr>
      </w:pPr>
      <w:r w:rsidRPr="002E0BE2">
        <w:rPr>
          <w:rFonts w:cs="Arial"/>
          <w:lang w:val="en-GB"/>
        </w:rPr>
        <w:t xml:space="preserve">Please quote your permit reference in all future correspondence with the </w:t>
      </w:r>
      <w:r w:rsidR="00454E05">
        <w:rPr>
          <w:rFonts w:cs="Arial"/>
          <w:lang w:val="en-GB"/>
        </w:rPr>
        <w:fldChar w:fldCharType="begin"/>
      </w:r>
      <w:r w:rsidR="00454E05">
        <w:rPr>
          <w:rFonts w:cs="Arial"/>
          <w:lang w:val="en-GB"/>
        </w:rPr>
        <w:instrText xml:space="preserve"> MERGEFIELD  ${competentAuthority.name}  \* MERGEFORMAT </w:instrText>
      </w:r>
      <w:r w:rsidR="00454E05">
        <w:rPr>
          <w:rFonts w:cs="Arial"/>
          <w:lang w:val="en-GB"/>
        </w:rPr>
        <w:fldChar w:fldCharType="separate"/>
      </w:r>
      <w:r w:rsidR="00454E05">
        <w:rPr>
          <w:rFonts w:cs="Arial"/>
          <w:noProof/>
          <w:lang w:val="en-GB"/>
        </w:rPr>
        <w:t>«${competentAuthority.name}»</w:t>
      </w:r>
      <w:r w:rsidR="00454E05">
        <w:rPr>
          <w:rFonts w:cs="Arial"/>
          <w:lang w:val="en-GB"/>
        </w:rPr>
        <w:fldChar w:fldCharType="end"/>
      </w:r>
      <w:r w:rsidRPr="002E0BE2">
        <w:rPr>
          <w:rFonts w:cs="Arial"/>
          <w:lang w:val="en-GB"/>
        </w:rPr>
        <w:t>.</w:t>
      </w:r>
    </w:p>
    <w:p w14:paraId="2F2B21A9" w14:textId="18670920" w:rsidR="004D0801" w:rsidRPr="002E0BE2" w:rsidRDefault="004D0801" w:rsidP="004D0801">
      <w:pPr>
        <w:jc w:val="both"/>
        <w:rPr>
          <w:rFonts w:cs="Arial"/>
          <w:snapToGrid/>
          <w:lang w:val="en-GB" w:eastAsia="en-GB"/>
        </w:rPr>
      </w:pPr>
      <w:r w:rsidRPr="002E0BE2">
        <w:rPr>
          <w:rFonts w:cs="Arial"/>
          <w:snapToGrid/>
          <w:lang w:val="en-GB" w:eastAsia="en-GB"/>
        </w:rPr>
        <w:t xml:space="preserve">If you require any clarification of the above, please do not hesitate to contact a member of the Emissions Trading Team either directly or by e-mail to </w:t>
      </w:r>
      <w:r w:rsidR="00454E05">
        <w:rPr>
          <w:rFonts w:cs="Arial"/>
          <w:lang w:val="en-GB"/>
        </w:rPr>
        <w:fldChar w:fldCharType="begin"/>
      </w:r>
      <w:r w:rsidR="00454E05">
        <w:rPr>
          <w:rFonts w:cs="Arial"/>
          <w:lang w:val="en-GB"/>
        </w:rPr>
        <w:instrText xml:space="preserve"> MERGEFIELD  ${competentAuthority.email}  \* MERGEFORMAT </w:instrText>
      </w:r>
      <w:r w:rsidR="00454E05">
        <w:rPr>
          <w:rFonts w:cs="Arial"/>
          <w:lang w:val="en-GB"/>
        </w:rPr>
        <w:fldChar w:fldCharType="separate"/>
      </w:r>
      <w:r w:rsidR="00454E05">
        <w:rPr>
          <w:rFonts w:cs="Arial"/>
          <w:noProof/>
          <w:lang w:val="en-GB"/>
        </w:rPr>
        <w:t>«${competentAuthority.email}»</w:t>
      </w:r>
      <w:r w:rsidR="00454E05">
        <w:rPr>
          <w:rFonts w:cs="Arial"/>
          <w:lang w:val="en-GB"/>
        </w:rPr>
        <w:fldChar w:fldCharType="end"/>
      </w:r>
      <w:r w:rsidRPr="002E0BE2">
        <w:rPr>
          <w:rFonts w:cs="Arial"/>
          <w:snapToGrid/>
          <w:lang w:val="en-GB" w:eastAsia="en-GB"/>
        </w:rPr>
        <w:t>.</w:t>
      </w:r>
    </w:p>
    <w:p w14:paraId="24B71901" w14:textId="77777777" w:rsidR="004D0801" w:rsidRPr="002E0BE2" w:rsidRDefault="004D0801" w:rsidP="004D0801">
      <w:pPr>
        <w:rPr>
          <w:rFonts w:cs="Arial"/>
          <w:snapToGrid/>
          <w:lang w:val="en-GB" w:eastAsia="en-GB"/>
        </w:rPr>
      </w:pPr>
      <w:r w:rsidRPr="002E0BE2">
        <w:rPr>
          <w:rFonts w:cs="Arial"/>
          <w:snapToGrid/>
          <w:lang w:val="en-GB" w:eastAsia="en-GB"/>
        </w:rPr>
        <w:t>Yours faithfully</w:t>
      </w:r>
    </w:p>
    <w:p w14:paraId="1F46EF37" w14:textId="563A9147" w:rsidR="004D0801" w:rsidRPr="002E0BE2" w:rsidRDefault="004D0801" w:rsidP="004D0801">
      <w:pPr>
        <w:rPr>
          <w:rFonts w:cs="Arial"/>
          <w:lang w:val="en-GB"/>
        </w:rPr>
      </w:pPr>
      <w:bookmarkStart w:id="1" w:name="signature"/>
      <w:r>
        <w:rPr>
          <w:rFonts w:cs="Arial"/>
          <w:noProof/>
        </w:rPr>
        <w:lastRenderedPageBreak/>
        <w:drawing>
          <wp:inline distT="0" distB="0" distL="0" distR="0" wp14:anchorId="1FE4362C" wp14:editId="10FF069C">
            <wp:extent cx="1439545" cy="1542415"/>
            <wp:effectExtent l="0" t="0" r="8255" b="635"/>
            <wp:docPr id="3" name="Picture 3" descr="A picture containing text, first-aid kit, picture fram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first-aid kit, picture frame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7F53DF21" w14:textId="098B10F3" w:rsidR="004D0801" w:rsidRPr="002E0BE2" w:rsidRDefault="00D6296A" w:rsidP="004D0801">
      <w:pPr>
        <w:rPr>
          <w:rFonts w:cs="Arial"/>
          <w:lang w:val="en-GB"/>
        </w:rPr>
      </w:pPr>
      <w:r>
        <w:rPr>
          <w:rFonts w:cs="Arial"/>
          <w:lang w:val="en-GB"/>
        </w:rPr>
        <w:fldChar w:fldCharType="begin"/>
      </w:r>
      <w:r>
        <w:rPr>
          <w:rFonts w:cs="Arial"/>
          <w:lang w:val="en-GB"/>
        </w:rPr>
        <w:instrText xml:space="preserve"> MERGEFIELD  ${signatory.fullName}  \* MERGEFORMAT </w:instrText>
      </w:r>
      <w:r>
        <w:rPr>
          <w:rFonts w:cs="Arial"/>
          <w:lang w:val="en-GB"/>
        </w:rPr>
        <w:fldChar w:fldCharType="separate"/>
      </w:r>
      <w:r>
        <w:rPr>
          <w:rFonts w:cs="Arial"/>
          <w:noProof/>
          <w:lang w:val="en-GB"/>
        </w:rPr>
        <w:t>«${signatory.fullName}»</w:t>
      </w:r>
      <w:r>
        <w:rPr>
          <w:rFonts w:cs="Arial"/>
          <w:lang w:val="en-GB"/>
        </w:rPr>
        <w:fldChar w:fldCharType="end"/>
      </w:r>
    </w:p>
    <w:p w14:paraId="4FA3E023" w14:textId="4DE8EBB0" w:rsidR="004D0801" w:rsidRPr="00D6296A" w:rsidRDefault="004D0801" w:rsidP="00D6296A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2E0BE2">
        <w:rPr>
          <w:rFonts w:cs="Arial"/>
        </w:rPr>
        <w:t>CC</w:t>
      </w:r>
      <w:r w:rsidR="00D6296A" w:rsidRPr="00D97C3A">
        <w:rPr>
          <w:rFonts w:cs="Arial"/>
        </w:rPr>
        <w:t xml:space="preserve">: </w:t>
      </w:r>
      <w:r w:rsidR="00D6296A">
        <w:rPr>
          <w:rFonts w:cs="Arial"/>
        </w:rPr>
        <w:fldChar w:fldCharType="begin"/>
      </w:r>
      <w:r w:rsidR="00D6296A">
        <w:rPr>
          <w:rFonts w:cs="Arial"/>
        </w:rPr>
        <w:instrText xml:space="preserve"> MERGEFIELD  "[#list params.ccRecipients as cc]"  \* MERGEFORMAT </w:instrText>
      </w:r>
      <w:r w:rsidR="00D6296A">
        <w:rPr>
          <w:rFonts w:cs="Arial"/>
        </w:rPr>
        <w:fldChar w:fldCharType="separate"/>
      </w:r>
      <w:r w:rsidR="00D6296A">
        <w:rPr>
          <w:rFonts w:cs="Arial"/>
          <w:noProof/>
        </w:rPr>
        <w:t>«[#list params.ccRecipients as cc]»</w:t>
      </w:r>
      <w:r w:rsidR="00D6296A">
        <w:rPr>
          <w:rFonts w:cs="Arial"/>
        </w:rPr>
        <w:fldChar w:fldCharType="end"/>
      </w:r>
      <w:r w:rsidR="00D6296A">
        <w:rPr>
          <w:rFonts w:cs="Arial"/>
        </w:rPr>
        <w:fldChar w:fldCharType="begin"/>
      </w:r>
      <w:r w:rsidR="00D6296A">
        <w:rPr>
          <w:rFonts w:cs="Arial"/>
        </w:rPr>
        <w:instrText xml:space="preserve"> MERGEFIELD  "${cc}[#sep], [/#sep]"  \* MERGEFORMAT </w:instrText>
      </w:r>
      <w:r w:rsidR="00D6296A">
        <w:rPr>
          <w:rFonts w:cs="Arial"/>
        </w:rPr>
        <w:fldChar w:fldCharType="separate"/>
      </w:r>
      <w:r w:rsidR="00D6296A">
        <w:rPr>
          <w:rFonts w:cs="Arial"/>
          <w:noProof/>
        </w:rPr>
        <w:t>«${cc}[#sep], [/#sep]»</w:t>
      </w:r>
      <w:r w:rsidR="00D6296A">
        <w:rPr>
          <w:rFonts w:cs="Arial"/>
        </w:rPr>
        <w:fldChar w:fldCharType="end"/>
      </w:r>
      <w:r w:rsidR="00D6296A">
        <w:rPr>
          <w:rFonts w:cs="Arial"/>
        </w:rPr>
        <w:fldChar w:fldCharType="begin"/>
      </w:r>
      <w:r w:rsidR="00D6296A">
        <w:rPr>
          <w:rFonts w:cs="Arial"/>
        </w:rPr>
        <w:instrText xml:space="preserve"> MERGEFIELD  [/#list]  \* MERGEFORMAT </w:instrText>
      </w:r>
      <w:r w:rsidR="00D6296A">
        <w:rPr>
          <w:rFonts w:cs="Arial"/>
        </w:rPr>
        <w:fldChar w:fldCharType="separate"/>
      </w:r>
      <w:r w:rsidR="00D6296A">
        <w:rPr>
          <w:rFonts w:cs="Arial"/>
          <w:noProof/>
        </w:rPr>
        <w:t>«[/#list]»</w:t>
      </w:r>
      <w:r w:rsidR="00D6296A">
        <w:rPr>
          <w:rFonts w:cs="Arial"/>
        </w:rPr>
        <w:fldChar w:fldCharType="end"/>
      </w:r>
    </w:p>
    <w:p w14:paraId="5CDA6EF6" w14:textId="047DCB3C" w:rsidR="004D0801" w:rsidRPr="00690954" w:rsidRDefault="000D340A" w:rsidP="004D0801">
      <w:pPr>
        <w:rPr>
          <w:snapToGrid/>
          <w:lang w:val="en-GB" w:eastAsia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MERGEFIELD  "[#if params.feeRequired]"  \* MERGEFORMAT 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«[#if params.feeRequired]»</w:t>
      </w:r>
      <w:r>
        <w:rPr>
          <w:lang w:val="en-GB"/>
        </w:rPr>
        <w:fldChar w:fldCharType="end"/>
      </w:r>
    </w:p>
    <w:p w14:paraId="42DFC1D0" w14:textId="77777777" w:rsidR="004D0801" w:rsidRPr="00FF7C20" w:rsidRDefault="004D0801" w:rsidP="004D0801">
      <w:pPr>
        <w:rPr>
          <w:i/>
          <w:lang w:val="en-GB"/>
        </w:rPr>
      </w:pPr>
      <w:r w:rsidRPr="00690954">
        <w:rPr>
          <w:sz w:val="22"/>
          <w:szCs w:val="22"/>
          <w:lang w:val="en-GB"/>
        </w:rPr>
        <w:br w:type="page"/>
      </w:r>
    </w:p>
    <w:p w14:paraId="1D1B185D" w14:textId="3C47FC7C" w:rsidR="004D0801" w:rsidRPr="00690954" w:rsidRDefault="00D6296A" w:rsidP="004D0801">
      <w:pPr>
        <w:jc w:val="both"/>
        <w:rPr>
          <w:lang w:val="en-GB"/>
        </w:rPr>
      </w:pPr>
      <w:r>
        <w:rPr>
          <w:lang w:val="en-GB"/>
        </w:rPr>
        <w:lastRenderedPageBreak/>
        <w:fldChar w:fldCharType="begin"/>
      </w:r>
      <w:r>
        <w:rPr>
          <w:lang w:val="en-GB"/>
        </w:rPr>
        <w:instrText xml:space="preserve"> MERGEFIELD  [/#if]  \* MERGEFORMAT 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«[/#if]»</w:t>
      </w:r>
      <w:r>
        <w:rPr>
          <w:lang w:val="en-GB"/>
        </w:rPr>
        <w:fldChar w:fldCharType="end"/>
      </w:r>
    </w:p>
    <w:p w14:paraId="33826C6C" w14:textId="77777777" w:rsidR="004D0801" w:rsidRPr="00690954" w:rsidRDefault="004D0801" w:rsidP="004D0801">
      <w:pPr>
        <w:jc w:val="both"/>
        <w:rPr>
          <w:lang w:val="en-GB"/>
        </w:rPr>
        <w:sectPr w:rsidR="004D0801" w:rsidRPr="00690954" w:rsidSect="008D767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pgSz w:w="11906" w:h="16838"/>
          <w:pgMar w:top="1440" w:right="1080" w:bottom="1440" w:left="1080" w:header="142" w:footer="720" w:gutter="0"/>
          <w:cols w:space="720"/>
          <w:noEndnote/>
          <w:titlePg/>
          <w:docGrid w:linePitch="272"/>
        </w:sect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2"/>
        <w:gridCol w:w="3686"/>
      </w:tblGrid>
      <w:tr w:rsidR="004D0801" w:rsidRPr="00690954" w14:paraId="7E821A57" w14:textId="77777777" w:rsidTr="00707C97">
        <w:tc>
          <w:tcPr>
            <w:tcW w:w="5812" w:type="dxa"/>
            <w:shd w:val="clear" w:color="auto" w:fill="000000"/>
          </w:tcPr>
          <w:p w14:paraId="2D862D66" w14:textId="77777777" w:rsidR="004D0801" w:rsidRPr="00D6296A" w:rsidRDefault="004D0801" w:rsidP="00707C97">
            <w:pPr>
              <w:rPr>
                <w:rFonts w:ascii="Arial Black" w:hAnsi="Arial Black"/>
                <w:highlight w:val="black"/>
              </w:rPr>
            </w:pPr>
            <w:r w:rsidRPr="00D6296A">
              <w:rPr>
                <w:highlight w:val="black"/>
              </w:rPr>
              <w:lastRenderedPageBreak/>
              <w:br w:type="page"/>
            </w:r>
            <w:r w:rsidRPr="00D6296A">
              <w:rPr>
                <w:rFonts w:cs="Arial"/>
                <w:highlight w:val="black"/>
              </w:rPr>
              <w:br w:type="page"/>
            </w:r>
            <w:r w:rsidRPr="00D6296A">
              <w:rPr>
                <w:rFonts w:cs="Arial"/>
                <w:highlight w:val="black"/>
              </w:rPr>
              <w:br w:type="page"/>
            </w:r>
            <w:r w:rsidRPr="00D6296A">
              <w:rPr>
                <w:sz w:val="16"/>
                <w:highlight w:val="black"/>
              </w:rPr>
              <w:br w:type="page"/>
            </w:r>
            <w:r w:rsidRPr="00D6296A">
              <w:rPr>
                <w:rFonts w:ascii="Arial Black" w:hAnsi="Arial Black"/>
                <w:highlight w:val="black"/>
              </w:rPr>
              <w:t xml:space="preserve">Variation </w:t>
            </w:r>
            <w:r w:rsidRPr="00D6296A">
              <w:rPr>
                <w:rFonts w:ascii="Arial Black" w:hAnsi="Arial Black"/>
                <w:color w:val="FFFFFF" w:themeColor="background1"/>
                <w:highlight w:val="black"/>
              </w:rPr>
              <w:t>Notice</w:t>
            </w:r>
          </w:p>
        </w:tc>
        <w:tc>
          <w:tcPr>
            <w:tcW w:w="3686" w:type="dxa"/>
            <w:shd w:val="clear" w:color="auto" w:fill="auto"/>
          </w:tcPr>
          <w:p w14:paraId="0F886472" w14:textId="16B4019E" w:rsidR="004D0801" w:rsidRPr="00690954" w:rsidRDefault="004D0801" w:rsidP="00707C97">
            <w:pPr>
              <w:rPr>
                <w:rFonts w:cs="Arial"/>
              </w:rPr>
            </w:pPr>
            <w:bookmarkStart w:id="2" w:name="competentAuthorityLogo2"/>
            <w:r>
              <w:rPr>
                <w:rFonts w:cs="Arial"/>
                <w:noProof/>
              </w:rPr>
              <w:drawing>
                <wp:inline distT="0" distB="0" distL="0" distR="0" wp14:anchorId="12AED973" wp14:editId="58D8DC74">
                  <wp:extent cx="2156460" cy="2313305"/>
                  <wp:effectExtent l="0" t="0" r="0" b="0"/>
                  <wp:docPr id="2" name="Picture 2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Qr cod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6460" cy="2313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"/>
          </w:p>
        </w:tc>
      </w:tr>
    </w:tbl>
    <w:p w14:paraId="6FF82674" w14:textId="1DE835E4" w:rsidR="00D6296A" w:rsidRPr="00690954" w:rsidRDefault="004D0801" w:rsidP="004D0801">
      <w:r w:rsidRPr="00690954">
        <w:t xml:space="preserve">The Greenhouse Gas Emissions Trading Scheme </w:t>
      </w:r>
      <w:r>
        <w:t>Order 2020</w:t>
      </w:r>
      <w:r w:rsidRPr="00690954">
        <w:t xml:space="preserve"> (SI</w:t>
      </w:r>
      <w:r>
        <w:t xml:space="preserve"> 2020/1265</w:t>
      </w:r>
      <w:r w:rsidRPr="00690954">
        <w:t>) (</w:t>
      </w:r>
      <w:r>
        <w:t>t</w:t>
      </w:r>
      <w:r w:rsidRPr="00690954">
        <w:t xml:space="preserve">he </w:t>
      </w:r>
      <w:r>
        <w:t>Order</w:t>
      </w:r>
      <w:r w:rsidRPr="00690954">
        <w:t>)</w:t>
      </w:r>
    </w:p>
    <w:p w14:paraId="16137F9C" w14:textId="02E24999" w:rsidR="004D0801" w:rsidRPr="00D6296A" w:rsidRDefault="004D0801" w:rsidP="004D0801">
      <w:pPr>
        <w:pStyle w:val="Heading1"/>
        <w:jc w:val="left"/>
        <w:rPr>
          <w:szCs w:val="48"/>
        </w:rPr>
      </w:pPr>
      <w:r w:rsidRPr="00D6296A">
        <w:rPr>
          <w:szCs w:val="48"/>
        </w:rPr>
        <w:t>Variation Notice</w:t>
      </w:r>
    </w:p>
    <w:p w14:paraId="0513452A" w14:textId="7184CCA0" w:rsidR="004D0801" w:rsidRPr="00426AE6" w:rsidRDefault="004D0801" w:rsidP="004D0801">
      <w:pPr>
        <w:rPr>
          <w:rFonts w:cs="Arial"/>
        </w:rPr>
      </w:pPr>
      <w:r w:rsidRPr="00690954">
        <w:rPr>
          <w:rFonts w:cs="Arial"/>
          <w:b/>
        </w:rPr>
        <w:t xml:space="preserve">Permit </w:t>
      </w:r>
      <w:r>
        <w:rPr>
          <w:rFonts w:cs="Arial"/>
          <w:b/>
        </w:rPr>
        <w:t>reference</w:t>
      </w:r>
      <w:r w:rsidRPr="00690954">
        <w:rPr>
          <w:rFonts w:cs="Arial"/>
          <w:b/>
        </w:rPr>
        <w:t xml:space="preserve">: </w:t>
      </w:r>
      <w:r w:rsidR="00D6296A">
        <w:rPr>
          <w:rFonts w:cs="Arial"/>
          <w:lang w:eastAsia="en-GB"/>
        </w:rPr>
        <w:fldChar w:fldCharType="begin"/>
      </w:r>
      <w:r w:rsidR="00D6296A">
        <w:rPr>
          <w:rFonts w:cs="Arial"/>
          <w:lang w:eastAsia="en-GB"/>
        </w:rPr>
        <w:instrText xml:space="preserve"> MERGEFIELD  ${(permitId)!}  \* MERGEFORMAT </w:instrText>
      </w:r>
      <w:r w:rsidR="00D6296A">
        <w:rPr>
          <w:rFonts w:cs="Arial"/>
          <w:lang w:eastAsia="en-GB"/>
        </w:rPr>
        <w:fldChar w:fldCharType="separate"/>
      </w:r>
      <w:r w:rsidR="00D6296A">
        <w:rPr>
          <w:rFonts w:cs="Arial"/>
          <w:noProof/>
          <w:lang w:eastAsia="en-GB"/>
        </w:rPr>
        <w:t>«${(permitId)!}»</w:t>
      </w:r>
      <w:r w:rsidR="00D6296A">
        <w:rPr>
          <w:rFonts w:cs="Arial"/>
          <w:lang w:eastAsia="en-GB"/>
        </w:rPr>
        <w:fldChar w:fldCharType="end"/>
      </w:r>
    </w:p>
    <w:p w14:paraId="4F51064B" w14:textId="5E971A1D" w:rsidR="004D0801" w:rsidRPr="00426AE6" w:rsidRDefault="004D0801" w:rsidP="004D0801">
      <w:pPr>
        <w:rPr>
          <w:b/>
        </w:rPr>
      </w:pPr>
      <w:r>
        <w:rPr>
          <w:b/>
        </w:rPr>
        <w:t>Permit Conversion</w:t>
      </w:r>
      <w:r w:rsidRPr="00426AE6">
        <w:rPr>
          <w:b/>
        </w:rPr>
        <w:t xml:space="preserve"> reference: </w:t>
      </w:r>
      <w:fldSimple w:instr=" MERGEFIELD  ${(workflow.requestId)!}  \* MERGEFORMAT ">
        <w:r w:rsidR="00D6296A">
          <w:rPr>
            <w:noProof/>
          </w:rPr>
          <w:t>«${(workflow.requestId)!}»</w:t>
        </w:r>
      </w:fldSimple>
    </w:p>
    <w:p w14:paraId="726B4143" w14:textId="3514CF4E" w:rsidR="004D0801" w:rsidRPr="00454E05" w:rsidRDefault="004D0801" w:rsidP="004D0801">
      <w:pPr>
        <w:rPr>
          <w:rStyle w:val="change"/>
          <w:rFonts w:cs="Arial"/>
          <w:color w:val="auto"/>
        </w:rPr>
      </w:pPr>
      <w:r w:rsidRPr="00454E05">
        <w:rPr>
          <w:rStyle w:val="change"/>
          <w:rFonts w:cs="Arial"/>
          <w:color w:val="auto"/>
        </w:rPr>
        <w:t xml:space="preserve">The </w:t>
      </w:r>
      <w:r w:rsidR="00454E05">
        <w:rPr>
          <w:rStyle w:val="change"/>
          <w:rFonts w:cs="Arial"/>
          <w:color w:val="auto"/>
        </w:rPr>
        <w:fldChar w:fldCharType="begin"/>
      </w:r>
      <w:r w:rsidR="00454E05">
        <w:rPr>
          <w:rStyle w:val="change"/>
          <w:rFonts w:cs="Arial"/>
          <w:color w:val="auto"/>
        </w:rPr>
        <w:instrText xml:space="preserve"> MERGEFIELD  ${competentAuthority.name}  \* MERGEFORMAT </w:instrText>
      </w:r>
      <w:r w:rsidR="00454E05">
        <w:rPr>
          <w:rStyle w:val="change"/>
          <w:rFonts w:cs="Arial"/>
          <w:color w:val="auto"/>
        </w:rPr>
        <w:fldChar w:fldCharType="separate"/>
      </w:r>
      <w:r w:rsidR="00454E05">
        <w:rPr>
          <w:rStyle w:val="change"/>
          <w:rFonts w:cs="Arial"/>
          <w:noProof/>
          <w:color w:val="auto"/>
        </w:rPr>
        <w:t>«${competentAuthority.name}»</w:t>
      </w:r>
      <w:r w:rsidR="00454E05">
        <w:rPr>
          <w:rStyle w:val="change"/>
          <w:rFonts w:cs="Arial"/>
          <w:color w:val="auto"/>
        </w:rPr>
        <w:fldChar w:fldCharType="end"/>
      </w:r>
      <w:r w:rsidRPr="00454E05">
        <w:rPr>
          <w:rStyle w:val="change"/>
          <w:rFonts w:cs="Arial"/>
          <w:color w:val="auto"/>
        </w:rPr>
        <w:t xml:space="preserve"> </w:t>
      </w:r>
      <w:r w:rsidRPr="00454E05">
        <w:rPr>
          <w:rFonts w:cs="Arial"/>
        </w:rPr>
        <w:t xml:space="preserve">in </w:t>
      </w:r>
      <w:r w:rsidRPr="00EF4A8A">
        <w:rPr>
          <w:rFonts w:cs="Arial"/>
        </w:rPr>
        <w:t xml:space="preserve">exercise of </w:t>
      </w:r>
      <w:r>
        <w:rPr>
          <w:rFonts w:cs="Arial"/>
        </w:rPr>
        <w:t>their</w:t>
      </w:r>
      <w:r w:rsidRPr="00EF4A8A">
        <w:rPr>
          <w:rFonts w:cs="Arial"/>
        </w:rPr>
        <w:t xml:space="preserve"> powers under Schedule 6, paragraph 6 to the Order</w:t>
      </w:r>
      <w:r w:rsidRPr="00EF4A8A">
        <w:t xml:space="preserve"> </w:t>
      </w:r>
      <w:r w:rsidRPr="00454E05">
        <w:t>hereby varies the permit held by you</w:t>
      </w:r>
    </w:p>
    <w:p w14:paraId="17B39543" w14:textId="594A81FA" w:rsidR="004D0801" w:rsidRPr="00426AE6" w:rsidRDefault="00D6296A" w:rsidP="004D0801">
      <w:pPr>
        <w:rPr>
          <w:rFonts w:cs="Arial"/>
        </w:rPr>
      </w:pPr>
      <w:r>
        <w:rPr>
          <w:rStyle w:val="change"/>
          <w:rFonts w:cs="Arial"/>
          <w:color w:val="auto"/>
        </w:rPr>
        <w:fldChar w:fldCharType="begin"/>
      </w:r>
      <w:r>
        <w:rPr>
          <w:rStyle w:val="change"/>
          <w:rFonts w:cs="Arial"/>
          <w:color w:val="auto"/>
        </w:rPr>
        <w:instrText xml:space="preserve"> MERGEFIELD  ${(account.legalEntityName)!}  \* MERGEFORMAT </w:instrText>
      </w:r>
      <w:r>
        <w:rPr>
          <w:rStyle w:val="change"/>
          <w:rFonts w:cs="Arial"/>
          <w:color w:val="auto"/>
        </w:rPr>
        <w:fldChar w:fldCharType="separate"/>
      </w:r>
      <w:r>
        <w:rPr>
          <w:rStyle w:val="change"/>
          <w:rFonts w:cs="Arial"/>
          <w:noProof/>
          <w:color w:val="auto"/>
        </w:rPr>
        <w:t>«${(account.legalEntityName)!}»</w:t>
      </w:r>
      <w:r>
        <w:rPr>
          <w:rStyle w:val="change"/>
          <w:rFonts w:cs="Arial"/>
          <w:color w:val="auto"/>
        </w:rPr>
        <w:fldChar w:fldCharType="end"/>
      </w:r>
      <w:r w:rsidR="004D0801" w:rsidRPr="00454E05">
        <w:rPr>
          <w:rFonts w:cs="Arial"/>
        </w:rPr>
        <w:t xml:space="preserve"> </w:t>
      </w:r>
      <w:r w:rsidR="004D0801" w:rsidRPr="00426AE6">
        <w:rPr>
          <w:rFonts w:cs="Arial"/>
        </w:rPr>
        <w:t>(the Operator),</w:t>
      </w:r>
    </w:p>
    <w:p w14:paraId="5F71F0CC" w14:textId="77777777" w:rsidR="004D0801" w:rsidRPr="00426AE6" w:rsidRDefault="004D0801" w:rsidP="004D0801">
      <w:pPr>
        <w:spacing w:before="120" w:beforeAutospacing="0" w:after="0" w:afterAutospacing="0"/>
        <w:rPr>
          <w:rFonts w:cs="Arial"/>
        </w:rPr>
      </w:pPr>
      <w:r w:rsidRPr="00426AE6">
        <w:rPr>
          <w:rFonts w:cs="Arial"/>
        </w:rPr>
        <w:t>whose (Registered) office address is</w:t>
      </w:r>
    </w:p>
    <w:p w14:paraId="312FAA90" w14:textId="0126C241" w:rsidR="004D0801" w:rsidRPr="00426AE6" w:rsidRDefault="00CC6FFF" w:rsidP="004D0801">
      <w:pPr>
        <w:widowControl/>
        <w:spacing w:before="120" w:after="0"/>
        <w:jc w:val="both"/>
        <w:rPr>
          <w:rFonts w:cs="Arial"/>
          <w:snapToGrid/>
          <w:lang w:val="en-GB"/>
        </w:rPr>
      </w:pPr>
      <w:r>
        <w:rPr>
          <w:rFonts w:cs="Arial"/>
          <w:snapToGrid/>
          <w:lang w:val="en-GB"/>
        </w:rPr>
        <w:fldChar w:fldCharType="begin"/>
      </w:r>
      <w:r>
        <w:rPr>
          <w:rFonts w:cs="Arial"/>
          <w:snapToGrid/>
          <w:lang w:val="en-GB"/>
        </w:rPr>
        <w:instrText xml:space="preserve"> MERGEFIELD  ${(account.legalEntityLocation)!}  \* MERGEFORMAT </w:instrText>
      </w:r>
      <w:r>
        <w:rPr>
          <w:rFonts w:cs="Arial"/>
          <w:snapToGrid/>
          <w:lang w:val="en-GB"/>
        </w:rPr>
        <w:fldChar w:fldCharType="separate"/>
      </w:r>
      <w:r>
        <w:rPr>
          <w:rFonts w:cs="Arial"/>
          <w:noProof/>
          <w:snapToGrid/>
          <w:lang w:val="en-GB"/>
        </w:rPr>
        <w:t>«${(account.legalEntityLocation)!}»</w:t>
      </w:r>
      <w:r>
        <w:rPr>
          <w:rFonts w:cs="Arial"/>
          <w:snapToGrid/>
          <w:lang w:val="en-GB"/>
        </w:rPr>
        <w:fldChar w:fldCharType="end"/>
      </w:r>
    </w:p>
    <w:p w14:paraId="0CAF11BC" w14:textId="77777777" w:rsidR="004D0801" w:rsidRPr="00426AE6" w:rsidRDefault="004D0801" w:rsidP="004D0801">
      <w:pPr>
        <w:spacing w:before="120" w:beforeAutospacing="0" w:after="0" w:afterAutospacing="0"/>
      </w:pPr>
      <w:r w:rsidRPr="00426AE6">
        <w:rPr>
          <w:rFonts w:cs="Arial"/>
        </w:rPr>
        <w:t>which relates to the operation of (part of) the Installation(s) at</w:t>
      </w:r>
    </w:p>
    <w:p w14:paraId="7E97E198" w14:textId="77777777" w:rsidR="00D6296A" w:rsidRPr="00D6296A" w:rsidRDefault="00D6296A" w:rsidP="00D6296A">
      <w:pPr>
        <w:spacing w:before="120" w:beforeAutospacing="0" w:after="0" w:afterAutospacing="0"/>
        <w:rPr>
          <w:rStyle w:val="change"/>
          <w:rFonts w:eastAsiaTheme="majorEastAsia"/>
          <w:color w:val="000000" w:themeColor="text1"/>
        </w:rPr>
      </w:pPr>
      <w:r w:rsidRPr="00D6296A">
        <w:rPr>
          <w:rStyle w:val="change"/>
          <w:rFonts w:eastAsiaTheme="majorEastAsia" w:cs="Arial"/>
          <w:color w:val="000000" w:themeColor="text1"/>
        </w:rPr>
        <w:fldChar w:fldCharType="begin"/>
      </w:r>
      <w:r w:rsidRPr="00D6296A">
        <w:rPr>
          <w:rStyle w:val="change"/>
          <w:rFonts w:eastAsiaTheme="majorEastAsia" w:cs="Arial"/>
          <w:color w:val="000000" w:themeColor="text1"/>
        </w:rPr>
        <w:instrText xml:space="preserve"> MERGEFIELD  ${(account.siteName)!}  \* MERGEFORMAT </w:instrText>
      </w:r>
      <w:r w:rsidRPr="00D6296A">
        <w:rPr>
          <w:rStyle w:val="change"/>
          <w:rFonts w:eastAsiaTheme="majorEastAsia" w:cs="Arial"/>
          <w:color w:val="000000" w:themeColor="text1"/>
        </w:rPr>
        <w:fldChar w:fldCharType="separate"/>
      </w:r>
      <w:r w:rsidRPr="00D6296A">
        <w:rPr>
          <w:rStyle w:val="change"/>
          <w:rFonts w:eastAsiaTheme="majorEastAsia" w:cs="Arial"/>
          <w:noProof/>
          <w:color w:val="000000" w:themeColor="text1"/>
        </w:rPr>
        <w:t>«${(account.siteName)!}»</w:t>
      </w:r>
      <w:r w:rsidRPr="00D6296A">
        <w:rPr>
          <w:rStyle w:val="change"/>
          <w:rFonts w:eastAsiaTheme="majorEastAsia" w:cs="Arial"/>
          <w:color w:val="000000" w:themeColor="text1"/>
        </w:rPr>
        <w:fldChar w:fldCharType="end"/>
      </w:r>
    </w:p>
    <w:p w14:paraId="6E5B36E2" w14:textId="22C1F511" w:rsidR="004D0801" w:rsidRPr="00D6296A" w:rsidRDefault="00D6296A" w:rsidP="004D0801">
      <w:pPr>
        <w:spacing w:before="120" w:beforeAutospacing="0" w:after="0" w:afterAutospacing="0"/>
        <w:rPr>
          <w:rStyle w:val="change"/>
          <w:rFonts w:eastAsiaTheme="majorEastAsia" w:cs="Arial"/>
          <w:color w:val="000000" w:themeColor="text1"/>
        </w:rPr>
      </w:pPr>
      <w:r w:rsidRPr="00D6296A">
        <w:rPr>
          <w:rStyle w:val="change"/>
          <w:rFonts w:eastAsiaTheme="majorEastAsia" w:cs="Arial"/>
          <w:color w:val="000000" w:themeColor="text1"/>
        </w:rPr>
        <w:fldChar w:fldCharType="begin"/>
      </w:r>
      <w:r w:rsidRPr="00D6296A">
        <w:rPr>
          <w:rStyle w:val="change"/>
          <w:rFonts w:eastAsiaTheme="majorEastAsia" w:cs="Arial"/>
          <w:color w:val="000000" w:themeColor="text1"/>
        </w:rPr>
        <w:instrText xml:space="preserve"> MERGEFIELD  ${(account.location)!}  \* MERGEFORMAT </w:instrText>
      </w:r>
      <w:r w:rsidRPr="00D6296A">
        <w:rPr>
          <w:rStyle w:val="change"/>
          <w:rFonts w:eastAsiaTheme="majorEastAsia" w:cs="Arial"/>
          <w:color w:val="000000" w:themeColor="text1"/>
        </w:rPr>
        <w:fldChar w:fldCharType="separate"/>
      </w:r>
      <w:r w:rsidRPr="00D6296A">
        <w:rPr>
          <w:rStyle w:val="change"/>
          <w:rFonts w:eastAsiaTheme="majorEastAsia" w:cs="Arial"/>
          <w:noProof/>
          <w:color w:val="000000" w:themeColor="text1"/>
        </w:rPr>
        <w:t>«${(account.location)!}»</w:t>
      </w:r>
      <w:r w:rsidRPr="00D6296A">
        <w:rPr>
          <w:rStyle w:val="change"/>
          <w:rFonts w:eastAsiaTheme="majorEastAsia" w:cs="Arial"/>
          <w:color w:val="000000" w:themeColor="text1"/>
        </w:rPr>
        <w:fldChar w:fldCharType="end"/>
      </w:r>
    </w:p>
    <w:p w14:paraId="3C55720A" w14:textId="77777777" w:rsidR="004D0801" w:rsidRDefault="004D0801" w:rsidP="004D0801">
      <w:pPr>
        <w:spacing w:before="120" w:beforeAutospacing="0" w:after="120" w:afterAutospacing="0"/>
      </w:pPr>
      <w:r w:rsidRPr="00454E05">
        <w:t xml:space="preserve">to the extent set out in the Schedule </w:t>
      </w:r>
      <w:r w:rsidRPr="00EF4A8A">
        <w:t>to this Variation Notice, as incorporated into the attached consolidated permit.</w:t>
      </w:r>
    </w:p>
    <w:p w14:paraId="3504BFE0" w14:textId="3AE3C85F" w:rsidR="004D0801" w:rsidRDefault="004D0801" w:rsidP="004D0801">
      <w:r w:rsidRPr="00D11F16">
        <w:t>This notice take</w:t>
      </w:r>
      <w:r>
        <w:t>s</w:t>
      </w:r>
      <w:r w:rsidRPr="00D11F16">
        <w:t xml:space="preserve"> effect </w:t>
      </w:r>
      <w:r>
        <w:t>on</w:t>
      </w:r>
      <w:r w:rsidRPr="00D11F16">
        <w:t xml:space="preserve"> </w:t>
      </w:r>
      <w:fldSimple w:instr=" MERGEFIELD  &quot;${params.activationDate.format('dd MMMM yyyy')}&quot; ">
        <w:r w:rsidR="00D6296A">
          <w:rPr>
            <w:noProof/>
          </w:rPr>
          <w:t>«${params.activationDate.format('dd MMMM »</w:t>
        </w:r>
      </w:fldSimple>
      <w:r>
        <w:t>.</w:t>
      </w:r>
    </w:p>
    <w:p w14:paraId="1241D0D7" w14:textId="77777777" w:rsidR="004D0801" w:rsidRPr="00EF4A8A" w:rsidRDefault="004D0801" w:rsidP="004D0801"/>
    <w:p w14:paraId="01F58121" w14:textId="26D0FD26" w:rsidR="004D0801" w:rsidRPr="00426AE6" w:rsidRDefault="000D340A" w:rsidP="004D0801">
      <w:pPr>
        <w:rPr>
          <w:snapToGrid/>
          <w:lang w:val="en-GB" w:eastAsia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MERGEFIELD  "[#if params.feeRequired]"  \* MERGEFORMAT 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«[#if params.feeRequired]»</w:t>
      </w:r>
      <w:r>
        <w:rPr>
          <w:lang w:val="en-GB"/>
        </w:rPr>
        <w:fldChar w:fldCharType="end"/>
      </w:r>
    </w:p>
    <w:p w14:paraId="42678B3B" w14:textId="34715A07" w:rsidR="004D0801" w:rsidRPr="00426AE6" w:rsidRDefault="00D6296A" w:rsidP="004D0801">
      <w:pPr>
        <w:pStyle w:val="Heading3nonum"/>
        <w:keepLines w:val="0"/>
        <w:spacing w:before="100" w:line="240" w:lineRule="auto"/>
        <w:outlineLvl w:val="9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[/#if]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«[/#if]»</w:t>
      </w:r>
      <w:r>
        <w:rPr>
          <w:rFonts w:cs="Arial"/>
        </w:rPr>
        <w:fldChar w:fldCharType="end"/>
      </w:r>
    </w:p>
    <w:p w14:paraId="195531C7" w14:textId="77777777" w:rsidR="004D0801" w:rsidRPr="00426AE6" w:rsidRDefault="004D0801" w:rsidP="004D0801">
      <w:pPr>
        <w:pStyle w:val="Heading3nonum"/>
        <w:keepLines w:val="0"/>
        <w:spacing w:before="100" w:line="240" w:lineRule="auto"/>
        <w:outlineLvl w:val="9"/>
        <w:rPr>
          <w:rFonts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76"/>
        <w:gridCol w:w="6170"/>
      </w:tblGrid>
      <w:tr w:rsidR="004D0801" w:rsidRPr="00426AE6" w14:paraId="74A71D74" w14:textId="77777777" w:rsidTr="00707C97">
        <w:trPr>
          <w:trHeight w:hRule="exact" w:val="404"/>
        </w:trPr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4635384" w14:textId="77777777" w:rsidR="004D0801" w:rsidRPr="00426AE6" w:rsidRDefault="004D0801" w:rsidP="00707C97">
            <w:r w:rsidRPr="00426AE6">
              <w:t>Signed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187DFF2" w14:textId="77777777" w:rsidR="004D0801" w:rsidRPr="00426AE6" w:rsidRDefault="004D0801" w:rsidP="00707C97">
            <w:r w:rsidRPr="00426AE6">
              <w:t>Date</w:t>
            </w:r>
          </w:p>
        </w:tc>
      </w:tr>
      <w:tr w:rsidR="004D0801" w:rsidRPr="00426AE6" w14:paraId="29029E31" w14:textId="77777777" w:rsidTr="00707C97">
        <w:tc>
          <w:tcPr>
            <w:tcW w:w="0" w:type="auto"/>
          </w:tcPr>
          <w:p w14:paraId="4A21E37A" w14:textId="75A4820E" w:rsidR="004D0801" w:rsidRPr="00426AE6" w:rsidRDefault="004D0801" w:rsidP="00707C97">
            <w:bookmarkStart w:id="3" w:name="signature2"/>
            <w:r>
              <w:rPr>
                <w:noProof/>
              </w:rPr>
              <w:lastRenderedPageBreak/>
              <w:drawing>
                <wp:inline distT="0" distB="0" distL="0" distR="0" wp14:anchorId="431E468D" wp14:editId="7B85659D">
                  <wp:extent cx="1439545" cy="1542415"/>
                  <wp:effectExtent l="0" t="0" r="8255" b="635"/>
                  <wp:docPr id="1" name="Picture 1" descr="A picture containing text, first-aid kit, picture frame, screensho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first-aid kit, picture frame, screensho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545" cy="154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"/>
          </w:p>
        </w:tc>
        <w:tc>
          <w:tcPr>
            <w:tcW w:w="0" w:type="auto"/>
          </w:tcPr>
          <w:p w14:paraId="11208E5F" w14:textId="08D14796" w:rsidR="004D0801" w:rsidRPr="00426AE6" w:rsidRDefault="00F86A98" w:rsidP="00707C97">
            <w:fldSimple w:instr=" MERGEFIELD  &quot;${currentDate?date?string('dd MMMM yyyy')}&quot; ">
              <w:r w:rsidR="007B20F2">
                <w:rPr>
                  <w:noProof/>
                </w:rPr>
                <w:t>«${currentDate?date?string('dd MMMM yyyy'»</w:t>
              </w:r>
            </w:fldSimple>
          </w:p>
        </w:tc>
      </w:tr>
    </w:tbl>
    <w:p w14:paraId="647B82CF" w14:textId="725D85BA" w:rsidR="004D0801" w:rsidRPr="00690954" w:rsidRDefault="00D6296A" w:rsidP="004D080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${signatory.fullName}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«${signatory.fullName}»</w:t>
      </w:r>
      <w:r>
        <w:rPr>
          <w:rFonts w:cs="Arial"/>
        </w:rPr>
        <w:fldChar w:fldCharType="end"/>
      </w:r>
    </w:p>
    <w:p w14:paraId="71562433" w14:textId="3A490C23" w:rsidR="004D0801" w:rsidRPr="00690954" w:rsidRDefault="004D0801" w:rsidP="004D0801">
      <w:pPr>
        <w:pStyle w:val="Heading3nonum"/>
        <w:keepLines w:val="0"/>
        <w:spacing w:before="100" w:line="240" w:lineRule="auto"/>
        <w:outlineLvl w:val="9"/>
        <w:rPr>
          <w:rFonts w:cs="Arial"/>
          <w:snapToGrid w:val="0"/>
        </w:rPr>
      </w:pPr>
      <w:r w:rsidRPr="00690954">
        <w:rPr>
          <w:rFonts w:cs="Arial"/>
        </w:rPr>
        <w:t xml:space="preserve">Authorised to sign on behalf of the </w:t>
      </w:r>
      <w:r w:rsidR="00454E05">
        <w:rPr>
          <w:rFonts w:cs="Arial"/>
          <w:snapToGrid w:val="0"/>
        </w:rPr>
        <w:fldChar w:fldCharType="begin"/>
      </w:r>
      <w:r w:rsidR="00454E05">
        <w:rPr>
          <w:rFonts w:cs="Arial"/>
          <w:snapToGrid w:val="0"/>
        </w:rPr>
        <w:instrText xml:space="preserve"> MERGEFIELD  ${competentAuthority.name}  \* MERGEFORMAT </w:instrText>
      </w:r>
      <w:r w:rsidR="00454E05">
        <w:rPr>
          <w:rFonts w:cs="Arial"/>
          <w:snapToGrid w:val="0"/>
        </w:rPr>
        <w:fldChar w:fldCharType="separate"/>
      </w:r>
      <w:r w:rsidR="00454E05">
        <w:rPr>
          <w:rFonts w:cs="Arial"/>
          <w:noProof/>
          <w:snapToGrid w:val="0"/>
        </w:rPr>
        <w:t>«${competentAuthority.name}»</w:t>
      </w:r>
      <w:r w:rsidR="00454E05">
        <w:rPr>
          <w:rFonts w:cs="Arial"/>
          <w:snapToGrid w:val="0"/>
        </w:rPr>
        <w:fldChar w:fldCharType="end"/>
      </w:r>
    </w:p>
    <w:p w14:paraId="10B7B30A" w14:textId="77777777" w:rsidR="004D0801" w:rsidRPr="00690954" w:rsidRDefault="004D0801" w:rsidP="004D0801">
      <w:pPr>
        <w:pStyle w:val="Heading3nonum"/>
        <w:keepLines w:val="0"/>
        <w:spacing w:before="100" w:line="240" w:lineRule="auto"/>
        <w:outlineLvl w:val="9"/>
        <w:rPr>
          <w:b/>
        </w:rPr>
      </w:pPr>
      <w:r w:rsidRPr="00690954">
        <w:rPr>
          <w:rFonts w:cs="Arial"/>
          <w:snapToGrid w:val="0"/>
        </w:rPr>
        <w:br w:type="page"/>
      </w:r>
      <w:r>
        <w:rPr>
          <w:b/>
        </w:rPr>
        <w:lastRenderedPageBreak/>
        <w:t>Appealing this Notice</w:t>
      </w:r>
    </w:p>
    <w:p w14:paraId="725C3982" w14:textId="77777777" w:rsidR="004D0801" w:rsidRPr="00895989" w:rsidRDefault="004D0801" w:rsidP="004D0801">
      <w:r>
        <w:t>Y</w:t>
      </w:r>
      <w:r w:rsidRPr="00142D61">
        <w:rPr>
          <w:color w:val="000000"/>
        </w:rPr>
        <w:t xml:space="preserve">ou have </w:t>
      </w:r>
      <w:r>
        <w:rPr>
          <w:color w:val="000000"/>
        </w:rPr>
        <w:t>a</w:t>
      </w:r>
      <w:r w:rsidRPr="00142D61">
        <w:rPr>
          <w:color w:val="000000"/>
        </w:rPr>
        <w:t xml:space="preserve"> right </w:t>
      </w:r>
      <w:r>
        <w:rPr>
          <w:color w:val="000000"/>
        </w:rPr>
        <w:t>of</w:t>
      </w:r>
      <w:r w:rsidRPr="00142D61">
        <w:rPr>
          <w:color w:val="000000"/>
        </w:rPr>
        <w:t xml:space="preserve"> appeal against this notice </w:t>
      </w:r>
      <w:r w:rsidRPr="00142D61">
        <w:rPr>
          <w:color w:val="000000"/>
          <w:lang w:eastAsia="en-GB"/>
        </w:rPr>
        <w:t xml:space="preserve">under </w:t>
      </w:r>
      <w:r>
        <w:rPr>
          <w:color w:val="000000"/>
          <w:lang w:eastAsia="en-GB"/>
        </w:rPr>
        <w:t>Article 70 of the Order</w:t>
      </w:r>
      <w:r w:rsidRPr="00142D61">
        <w:rPr>
          <w:color w:val="000000"/>
          <w:lang w:eastAsia="en-GB"/>
        </w:rPr>
        <w:t xml:space="preserve"> to the </w:t>
      </w:r>
      <w:r>
        <w:rPr>
          <w:rFonts w:cs="Arial"/>
          <w:color w:val="000000"/>
        </w:rPr>
        <w:t>Planning Appeals Commission</w:t>
      </w:r>
      <w:r w:rsidRPr="00142D61">
        <w:rPr>
          <w:color w:val="000000"/>
          <w:lang w:eastAsia="en-GB"/>
        </w:rPr>
        <w:t xml:space="preserve">. Written notice of the appeal must be submitted to the </w:t>
      </w:r>
      <w:r>
        <w:rPr>
          <w:rFonts w:cs="Arial"/>
          <w:color w:val="000000"/>
        </w:rPr>
        <w:t>Planning Appeals Commission</w:t>
      </w:r>
      <w:r w:rsidRPr="00142D61">
        <w:rPr>
          <w:color w:val="000000"/>
          <w:lang w:eastAsia="en-GB"/>
        </w:rPr>
        <w:t xml:space="preserve"> at the addres</w:t>
      </w:r>
      <w:r>
        <w:rPr>
          <w:color w:val="000000"/>
          <w:lang w:eastAsia="en-GB"/>
        </w:rPr>
        <w:t>s provided below no later than 47</w:t>
      </w:r>
      <w:r w:rsidRPr="00142D61">
        <w:rPr>
          <w:color w:val="000000"/>
          <w:lang w:eastAsia="en-GB"/>
        </w:rPr>
        <w:t xml:space="preserve"> days after the service of this notice.</w:t>
      </w:r>
    </w:p>
    <w:p w14:paraId="571716E1" w14:textId="77777777" w:rsidR="004D0801" w:rsidRPr="009B2B90" w:rsidRDefault="004D0801" w:rsidP="004D0801">
      <w:pPr>
        <w:autoSpaceDE w:val="0"/>
        <w:autoSpaceDN w:val="0"/>
        <w:adjustRightInd w:val="0"/>
        <w:spacing w:before="0" w:beforeAutospacing="0" w:after="0" w:afterAutospacing="0"/>
        <w:rPr>
          <w:rFonts w:cs="Arial"/>
          <w:color w:val="000000"/>
        </w:rPr>
      </w:pPr>
      <w:r w:rsidRPr="009B2B90">
        <w:rPr>
          <w:rFonts w:cs="Arial"/>
          <w:color w:val="000000"/>
        </w:rPr>
        <w:t xml:space="preserve">Hard </w:t>
      </w:r>
      <w:r w:rsidRPr="00FD3C43">
        <w:rPr>
          <w:rFonts w:cs="Arial"/>
        </w:rPr>
        <w:t>copy: NI Planning Appeals Commission, Park House, 87-91 Great Victoria St, Belfast BT2 7AG</w:t>
      </w:r>
    </w:p>
    <w:p w14:paraId="2BD589E2" w14:textId="77777777" w:rsidR="004D0801" w:rsidRPr="009B2B90" w:rsidRDefault="004D0801" w:rsidP="004D0801">
      <w:pPr>
        <w:autoSpaceDE w:val="0"/>
        <w:autoSpaceDN w:val="0"/>
        <w:adjustRightInd w:val="0"/>
        <w:spacing w:before="0" w:beforeAutospacing="0" w:after="0" w:afterAutospacing="0"/>
        <w:rPr>
          <w:rFonts w:cs="Arial"/>
          <w:color w:val="000000"/>
        </w:rPr>
      </w:pPr>
    </w:p>
    <w:p w14:paraId="3A177C44" w14:textId="77777777" w:rsidR="004D0801" w:rsidRPr="00FD3C43" w:rsidRDefault="004D0801" w:rsidP="004D0801">
      <w:pPr>
        <w:autoSpaceDE w:val="0"/>
        <w:autoSpaceDN w:val="0"/>
        <w:adjustRightInd w:val="0"/>
        <w:spacing w:before="0" w:beforeAutospacing="0" w:after="0" w:afterAutospacing="0"/>
        <w:rPr>
          <w:rFonts w:cs="Arial"/>
        </w:rPr>
      </w:pPr>
      <w:r w:rsidRPr="009B2B90">
        <w:rPr>
          <w:rFonts w:cs="Arial"/>
          <w:color w:val="000000"/>
        </w:rPr>
        <w:t>or email</w:t>
      </w:r>
      <w:r w:rsidRPr="00FD3C43">
        <w:rPr>
          <w:rFonts w:cs="Arial"/>
        </w:rPr>
        <w:t>: info@pacni.gov.uk</w:t>
      </w:r>
    </w:p>
    <w:p w14:paraId="32071C63" w14:textId="77777777" w:rsidR="004D0801" w:rsidRDefault="004D0801" w:rsidP="004D0801">
      <w:pPr>
        <w:autoSpaceDE w:val="0"/>
        <w:autoSpaceDN w:val="0"/>
        <w:rPr>
          <w:color w:val="000000"/>
        </w:rPr>
      </w:pPr>
    </w:p>
    <w:p w14:paraId="55D8DA14" w14:textId="77777777" w:rsidR="004D0801" w:rsidRPr="00142D61" w:rsidRDefault="004D0801" w:rsidP="004D0801">
      <w:pPr>
        <w:autoSpaceDE w:val="0"/>
        <w:autoSpaceDN w:val="0"/>
        <w:rPr>
          <w:color w:val="000000"/>
        </w:rPr>
      </w:pPr>
      <w:r w:rsidRPr="00142D61">
        <w:rPr>
          <w:color w:val="000000"/>
        </w:rPr>
        <w:t>The notice of appeal must include:</w:t>
      </w:r>
    </w:p>
    <w:p w14:paraId="7B33227B" w14:textId="77777777" w:rsidR="004D0801" w:rsidRPr="00142D61" w:rsidRDefault="004D0801" w:rsidP="004D0801">
      <w:pPr>
        <w:widowControl/>
        <w:numPr>
          <w:ilvl w:val="0"/>
          <w:numId w:val="1"/>
        </w:numPr>
        <w:autoSpaceDE w:val="0"/>
        <w:autoSpaceDN w:val="0"/>
        <w:spacing w:before="0" w:beforeAutospacing="0" w:after="0" w:afterAutospacing="0"/>
        <w:ind w:left="709" w:hanging="513"/>
        <w:contextualSpacing/>
        <w:rPr>
          <w:color w:val="000000"/>
        </w:rPr>
      </w:pPr>
      <w:r w:rsidRPr="00142D61">
        <w:rPr>
          <w:color w:val="000000"/>
        </w:rPr>
        <w:t>the name and address of the appellant;</w:t>
      </w:r>
    </w:p>
    <w:p w14:paraId="73BEB421" w14:textId="77777777" w:rsidR="004D0801" w:rsidRPr="00142D61" w:rsidRDefault="004D0801" w:rsidP="004D0801">
      <w:pPr>
        <w:widowControl/>
        <w:numPr>
          <w:ilvl w:val="0"/>
          <w:numId w:val="1"/>
        </w:numPr>
        <w:autoSpaceDE w:val="0"/>
        <w:autoSpaceDN w:val="0"/>
        <w:spacing w:before="0" w:beforeAutospacing="0" w:after="0" w:afterAutospacing="0"/>
        <w:ind w:left="709" w:hanging="513"/>
        <w:contextualSpacing/>
        <w:rPr>
          <w:color w:val="000000"/>
        </w:rPr>
      </w:pPr>
      <w:r w:rsidRPr="00142D61">
        <w:rPr>
          <w:color w:val="000000"/>
        </w:rPr>
        <w:t>the name and address of the appellant’s representative (if any);</w:t>
      </w:r>
    </w:p>
    <w:p w14:paraId="7611421B" w14:textId="77777777" w:rsidR="004D0801" w:rsidRPr="00142D61" w:rsidRDefault="004D0801" w:rsidP="004D0801">
      <w:pPr>
        <w:widowControl/>
        <w:numPr>
          <w:ilvl w:val="0"/>
          <w:numId w:val="1"/>
        </w:numPr>
        <w:autoSpaceDE w:val="0"/>
        <w:autoSpaceDN w:val="0"/>
        <w:spacing w:before="0" w:beforeAutospacing="0" w:after="0" w:afterAutospacing="0"/>
        <w:ind w:left="709" w:hanging="513"/>
        <w:contextualSpacing/>
        <w:rPr>
          <w:color w:val="000000"/>
        </w:rPr>
      </w:pPr>
      <w:r w:rsidRPr="00142D61">
        <w:rPr>
          <w:color w:val="000000"/>
        </w:rPr>
        <w:t>an address where documents for the appellant may be sent or delivered;</w:t>
      </w:r>
    </w:p>
    <w:p w14:paraId="0F220A36" w14:textId="77777777" w:rsidR="004D0801" w:rsidRPr="00142D61" w:rsidRDefault="004D0801" w:rsidP="004D0801">
      <w:pPr>
        <w:widowControl/>
        <w:numPr>
          <w:ilvl w:val="0"/>
          <w:numId w:val="1"/>
        </w:numPr>
        <w:autoSpaceDE w:val="0"/>
        <w:autoSpaceDN w:val="0"/>
        <w:spacing w:before="0" w:beforeAutospacing="0" w:after="0" w:afterAutospacing="0"/>
        <w:ind w:left="709" w:hanging="513"/>
        <w:contextualSpacing/>
        <w:rPr>
          <w:color w:val="000000"/>
        </w:rPr>
      </w:pPr>
      <w:r w:rsidRPr="00142D61">
        <w:rPr>
          <w:color w:val="000000"/>
        </w:rPr>
        <w:t>the name and address of any respondent;</w:t>
      </w:r>
    </w:p>
    <w:p w14:paraId="27EE6B99" w14:textId="77777777" w:rsidR="004D0801" w:rsidRPr="00142D61" w:rsidRDefault="004D0801" w:rsidP="004D0801">
      <w:pPr>
        <w:widowControl/>
        <w:numPr>
          <w:ilvl w:val="0"/>
          <w:numId w:val="1"/>
        </w:numPr>
        <w:autoSpaceDE w:val="0"/>
        <w:autoSpaceDN w:val="0"/>
        <w:spacing w:before="0" w:beforeAutospacing="0" w:after="0" w:afterAutospacing="0"/>
        <w:ind w:left="709" w:hanging="513"/>
        <w:contextualSpacing/>
        <w:rPr>
          <w:color w:val="000000"/>
        </w:rPr>
      </w:pPr>
      <w:r w:rsidRPr="00142D61">
        <w:rPr>
          <w:color w:val="000000"/>
        </w:rPr>
        <w:t>details of the decision to which the appeals relates;</w:t>
      </w:r>
    </w:p>
    <w:p w14:paraId="00A285FB" w14:textId="77777777" w:rsidR="004D0801" w:rsidRPr="00142D61" w:rsidRDefault="004D0801" w:rsidP="004D0801">
      <w:pPr>
        <w:widowControl/>
        <w:numPr>
          <w:ilvl w:val="0"/>
          <w:numId w:val="1"/>
        </w:numPr>
        <w:autoSpaceDE w:val="0"/>
        <w:autoSpaceDN w:val="0"/>
        <w:spacing w:before="0" w:beforeAutospacing="0" w:after="0" w:afterAutospacing="0"/>
        <w:ind w:left="709" w:hanging="513"/>
        <w:contextualSpacing/>
        <w:rPr>
          <w:color w:val="000000"/>
        </w:rPr>
      </w:pPr>
      <w:r w:rsidRPr="00142D61">
        <w:rPr>
          <w:color w:val="000000"/>
        </w:rPr>
        <w:t>the result the appellant is seeking;</w:t>
      </w:r>
    </w:p>
    <w:p w14:paraId="75FAA6E7" w14:textId="77777777" w:rsidR="004D0801" w:rsidRPr="00142D61" w:rsidRDefault="004D0801" w:rsidP="004D0801">
      <w:pPr>
        <w:widowControl/>
        <w:numPr>
          <w:ilvl w:val="0"/>
          <w:numId w:val="1"/>
        </w:numPr>
        <w:autoSpaceDE w:val="0"/>
        <w:autoSpaceDN w:val="0"/>
        <w:spacing w:before="0" w:beforeAutospacing="0" w:after="0" w:afterAutospacing="0"/>
        <w:ind w:left="709" w:hanging="513"/>
        <w:contextualSpacing/>
        <w:rPr>
          <w:color w:val="000000"/>
        </w:rPr>
      </w:pPr>
      <w:r w:rsidRPr="00142D61">
        <w:rPr>
          <w:color w:val="000000"/>
        </w:rPr>
        <w:t>the grounds on which the appellant relies; and</w:t>
      </w:r>
    </w:p>
    <w:p w14:paraId="2BE1D904" w14:textId="77777777" w:rsidR="004D0801" w:rsidRPr="00142D61" w:rsidRDefault="004D0801" w:rsidP="004D0801">
      <w:pPr>
        <w:widowControl/>
        <w:numPr>
          <w:ilvl w:val="0"/>
          <w:numId w:val="1"/>
        </w:numPr>
        <w:autoSpaceDE w:val="0"/>
        <w:autoSpaceDN w:val="0"/>
        <w:spacing w:before="0" w:beforeAutospacing="0" w:after="0" w:afterAutospacing="0"/>
        <w:ind w:left="709" w:hanging="513"/>
        <w:contextualSpacing/>
        <w:rPr>
          <w:color w:val="000000"/>
        </w:rPr>
      </w:pPr>
      <w:r w:rsidRPr="00142D61">
        <w:rPr>
          <w:color w:val="000000"/>
        </w:rPr>
        <w:t>a copy of any written record of that decision, and any statement of reasons for that decision that the appellant has or can reasonably obtain.</w:t>
      </w:r>
    </w:p>
    <w:p w14:paraId="124F3F74" w14:textId="77777777" w:rsidR="004D0801" w:rsidRPr="00142D61" w:rsidRDefault="004D0801" w:rsidP="004D0801">
      <w:pPr>
        <w:rPr>
          <w:color w:val="000000"/>
        </w:rPr>
      </w:pPr>
      <w:r w:rsidRPr="00142D61">
        <w:rPr>
          <w:color w:val="000000"/>
        </w:rPr>
        <w:t xml:space="preserve">You may withdraw an appeal by notifying the </w:t>
      </w:r>
      <w:r>
        <w:rPr>
          <w:color w:val="000000"/>
        </w:rPr>
        <w:t>Planning Appeals Commission</w:t>
      </w:r>
      <w:r w:rsidRPr="00142D61">
        <w:rPr>
          <w:color w:val="000000"/>
        </w:rPr>
        <w:t xml:space="preserve"> at the above address.</w:t>
      </w:r>
    </w:p>
    <w:p w14:paraId="0542062F" w14:textId="77777777" w:rsidR="004D0801" w:rsidRPr="00142D61" w:rsidRDefault="004D0801" w:rsidP="004D0801">
      <w:pPr>
        <w:pStyle w:val="Heading3nonum"/>
        <w:keepLines w:val="0"/>
        <w:spacing w:before="100" w:line="240" w:lineRule="auto"/>
        <w:outlineLvl w:val="9"/>
        <w:rPr>
          <w:color w:val="000000"/>
        </w:rPr>
      </w:pPr>
    </w:p>
    <w:p w14:paraId="50F3DFA9" w14:textId="77777777" w:rsidR="004D0801" w:rsidRDefault="004D0801" w:rsidP="004D0801">
      <w:pPr>
        <w:rPr>
          <w:rFonts w:ascii="ArialMT" w:hAnsi="ArialMT" w:cs="ArialMT"/>
          <w:snapToGrid/>
          <w:color w:val="000000"/>
          <w:lang w:val="en-GB" w:eastAsia="en-GB"/>
        </w:rPr>
      </w:pPr>
    </w:p>
    <w:p w14:paraId="36D84524" w14:textId="77777777" w:rsidR="004D0801" w:rsidRPr="00D11F16" w:rsidRDefault="004D0801" w:rsidP="004D0801">
      <w:pPr>
        <w:rPr>
          <w:rFonts w:cs="Arial"/>
          <w:b/>
        </w:rPr>
      </w:pPr>
      <w:r w:rsidRPr="00D11F16">
        <w:br w:type="page"/>
      </w:r>
      <w:r w:rsidRPr="00D11F16">
        <w:rPr>
          <w:rFonts w:cs="Arial"/>
          <w:b/>
        </w:rPr>
        <w:lastRenderedPageBreak/>
        <w:t>SCHEDULE</w:t>
      </w:r>
    </w:p>
    <w:p w14:paraId="21E13B64" w14:textId="77777777" w:rsidR="004D0801" w:rsidRDefault="004D0801" w:rsidP="004D0801">
      <w:pPr>
        <w:rPr>
          <w:rFonts w:cs="Arial"/>
          <w:sz w:val="22"/>
          <w:szCs w:val="22"/>
        </w:rPr>
      </w:pPr>
    </w:p>
    <w:p w14:paraId="58B01F7A" w14:textId="77777777" w:rsidR="004D0801" w:rsidRPr="00BB527C" w:rsidRDefault="004D0801" w:rsidP="004D0801">
      <w:pPr>
        <w:rPr>
          <w:rFonts w:cs="Arial"/>
        </w:rPr>
      </w:pPr>
      <w:r w:rsidRPr="00BB527C">
        <w:rPr>
          <w:rFonts w:cs="Arial"/>
        </w:rPr>
        <w:t>The permit is varied as set out in the table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83"/>
        <w:gridCol w:w="7853"/>
      </w:tblGrid>
      <w:tr w:rsidR="004D0801" w:rsidRPr="00EB704A" w14:paraId="53279799" w14:textId="77777777" w:rsidTr="00707C97">
        <w:tc>
          <w:tcPr>
            <w:tcW w:w="967" w:type="pct"/>
            <w:shd w:val="clear" w:color="auto" w:fill="auto"/>
          </w:tcPr>
          <w:p w14:paraId="77B47557" w14:textId="77777777" w:rsidR="004D0801" w:rsidRPr="00BB527C" w:rsidRDefault="004D0801" w:rsidP="00707C97">
            <w:pPr>
              <w:rPr>
                <w:rFonts w:cs="Arial"/>
                <w:b/>
              </w:rPr>
            </w:pPr>
            <w:r w:rsidRPr="00BB527C">
              <w:rPr>
                <w:rFonts w:cs="Arial"/>
                <w:b/>
              </w:rPr>
              <w:t>Item</w:t>
            </w:r>
          </w:p>
        </w:tc>
        <w:tc>
          <w:tcPr>
            <w:tcW w:w="4033" w:type="pct"/>
            <w:shd w:val="clear" w:color="auto" w:fill="auto"/>
          </w:tcPr>
          <w:p w14:paraId="61068BA1" w14:textId="77777777" w:rsidR="004D0801" w:rsidRPr="00BB527C" w:rsidRDefault="004D0801" w:rsidP="00707C97">
            <w:pPr>
              <w:rPr>
                <w:rFonts w:cs="Arial"/>
                <w:b/>
              </w:rPr>
            </w:pPr>
            <w:r w:rsidRPr="00BB527C">
              <w:rPr>
                <w:rFonts w:cs="Arial"/>
                <w:b/>
              </w:rPr>
              <w:t>Provisions varied</w:t>
            </w:r>
          </w:p>
        </w:tc>
      </w:tr>
      <w:tr w:rsidR="004D0801" w:rsidRPr="00EB704A" w14:paraId="7530EFA7" w14:textId="77777777" w:rsidTr="00707C97">
        <w:tc>
          <w:tcPr>
            <w:tcW w:w="5000" w:type="pct"/>
            <w:gridSpan w:val="2"/>
            <w:shd w:val="clear" w:color="auto" w:fill="auto"/>
          </w:tcPr>
          <w:p w14:paraId="30EFA8F1" w14:textId="77777777" w:rsidR="004D0801" w:rsidRPr="00BB527C" w:rsidRDefault="004D0801" w:rsidP="00707C9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Points applying to HSE and GHGE Permit Holders</w:t>
            </w:r>
          </w:p>
        </w:tc>
      </w:tr>
      <w:tr w:rsidR="004D0801" w:rsidRPr="00EB704A" w14:paraId="12A83FB9" w14:textId="77777777" w:rsidTr="00707C97">
        <w:tc>
          <w:tcPr>
            <w:tcW w:w="967" w:type="pct"/>
            <w:shd w:val="clear" w:color="auto" w:fill="auto"/>
          </w:tcPr>
          <w:p w14:paraId="7166CC28" w14:textId="77777777" w:rsidR="004D0801" w:rsidRPr="00BB527C" w:rsidRDefault="004D0801" w:rsidP="00707C97">
            <w:pPr>
              <w:rPr>
                <w:rFonts w:cs="Arial"/>
              </w:rPr>
            </w:pPr>
            <w:r w:rsidRPr="00BB527C">
              <w:t>1</w:t>
            </w:r>
          </w:p>
        </w:tc>
        <w:tc>
          <w:tcPr>
            <w:tcW w:w="4033" w:type="pct"/>
            <w:shd w:val="clear" w:color="auto" w:fill="auto"/>
          </w:tcPr>
          <w:p w14:paraId="0FB3095A" w14:textId="77777777" w:rsidR="004D0801" w:rsidRDefault="004D0801" w:rsidP="00707C97">
            <w:pPr>
              <w:rPr>
                <w:rFonts w:cs="Arial"/>
              </w:rPr>
            </w:pPr>
            <w:r>
              <w:rPr>
                <w:rFonts w:cs="Arial"/>
              </w:rPr>
              <w:t>Permit fixes to allow for migration onto PMRV:</w:t>
            </w:r>
          </w:p>
          <w:p w14:paraId="627A8E0C" w14:textId="77777777" w:rsidR="004D0801" w:rsidRPr="00BB527C" w:rsidRDefault="004D0801" w:rsidP="00707C97">
            <w:pPr>
              <w:rPr>
                <w:rFonts w:cs="Arial"/>
              </w:rPr>
            </w:pPr>
            <w:r>
              <w:rPr>
                <w:rFonts w:cs="Arial"/>
              </w:rPr>
              <w:t>Grid Reference amendments to UK Format (if relevant);</w:t>
            </w:r>
            <w:r>
              <w:rPr>
                <w:rFonts w:cs="Arial"/>
              </w:rPr>
              <w:br/>
              <w:t xml:space="preserve">Amendments to ‘Emission Sources’ to ensure that, for a regulated activity, one and only one source stream is listed with the Emission Source Description (if relevant); </w:t>
            </w:r>
            <w:r>
              <w:rPr>
                <w:rFonts w:cs="Arial"/>
              </w:rPr>
              <w:br/>
              <w:t xml:space="preserve">Amendments to ‘Applied Tiers’ and ‘Default Values’ tables to ensure that only one Source Stream Ref and only one Parameter is listed in each row (if relevant); </w:t>
            </w:r>
            <w:r>
              <w:rPr>
                <w:rFonts w:cs="Arial"/>
              </w:rPr>
              <w:br/>
              <w:t xml:space="preserve">Amendments to parameters in the ‘Sampling and Analysis’ table and ‘Default Values’ Table (if relevant); </w:t>
            </w:r>
            <w:r>
              <w:rPr>
                <w:rFonts w:cs="Arial"/>
              </w:rPr>
              <w:br/>
              <w:t>Amendments to calculation tiers in the ‘Applied Tiers’ table (if relevant);</w:t>
            </w:r>
            <w:r>
              <w:rPr>
                <w:rFonts w:cs="Arial"/>
              </w:rPr>
              <w:br/>
              <w:t xml:space="preserve">Amendments to the ‘Management’ section of the permit to ensure procedures refer to the ‘UK ETS’ (if relevant). </w:t>
            </w:r>
          </w:p>
        </w:tc>
      </w:tr>
      <w:tr w:rsidR="004D0801" w:rsidRPr="00EB704A" w14:paraId="3F89FA20" w14:textId="77777777" w:rsidTr="00707C97">
        <w:tc>
          <w:tcPr>
            <w:tcW w:w="967" w:type="pct"/>
            <w:shd w:val="clear" w:color="auto" w:fill="auto"/>
          </w:tcPr>
          <w:p w14:paraId="5BA15C1F" w14:textId="77777777" w:rsidR="004D0801" w:rsidRPr="00BB527C" w:rsidRDefault="004D0801" w:rsidP="00707C97">
            <w:r w:rsidRPr="00BB527C">
              <w:t>2</w:t>
            </w:r>
          </w:p>
        </w:tc>
        <w:tc>
          <w:tcPr>
            <w:tcW w:w="4033" w:type="pct"/>
            <w:shd w:val="clear" w:color="auto" w:fill="auto"/>
          </w:tcPr>
          <w:p w14:paraId="5857E8C7" w14:textId="77777777" w:rsidR="004D0801" w:rsidRPr="00BB527C" w:rsidRDefault="004D0801" w:rsidP="00707C97">
            <w:pPr>
              <w:rPr>
                <w:rFonts w:cs="Arial"/>
              </w:rPr>
            </w:pPr>
            <w:r>
              <w:t>Deletion of the bioliquids permit condition.</w:t>
            </w:r>
          </w:p>
        </w:tc>
      </w:tr>
      <w:tr w:rsidR="004D0801" w:rsidRPr="00BB527C" w14:paraId="3278A07D" w14:textId="77777777" w:rsidTr="00707C97">
        <w:tc>
          <w:tcPr>
            <w:tcW w:w="967" w:type="pct"/>
            <w:shd w:val="clear" w:color="auto" w:fill="auto"/>
          </w:tcPr>
          <w:p w14:paraId="2B4D83AE" w14:textId="77777777" w:rsidR="004D0801" w:rsidRPr="00BB527C" w:rsidRDefault="004D0801" w:rsidP="00707C97">
            <w:r w:rsidRPr="00BB527C">
              <w:t>3</w:t>
            </w:r>
          </w:p>
        </w:tc>
        <w:tc>
          <w:tcPr>
            <w:tcW w:w="4033" w:type="pct"/>
            <w:shd w:val="clear" w:color="auto" w:fill="auto"/>
          </w:tcPr>
          <w:p w14:paraId="57C16CD2" w14:textId="77777777" w:rsidR="004D0801" w:rsidRPr="00BB527C" w:rsidRDefault="004D0801" w:rsidP="00707C97">
            <w:pPr>
              <w:rPr>
                <w:rFonts w:cs="Arial"/>
              </w:rPr>
            </w:pPr>
            <w:r>
              <w:t>Deletion of definitions of ‘bioliquid’ and ‘Renewable Energy Directive’.  </w:t>
            </w:r>
          </w:p>
        </w:tc>
      </w:tr>
      <w:tr w:rsidR="004D0801" w:rsidRPr="00BB527C" w14:paraId="5ACD8BEC" w14:textId="77777777" w:rsidTr="00707C97">
        <w:tc>
          <w:tcPr>
            <w:tcW w:w="967" w:type="pct"/>
            <w:shd w:val="clear" w:color="auto" w:fill="auto"/>
          </w:tcPr>
          <w:p w14:paraId="58B199F9" w14:textId="77777777" w:rsidR="004D0801" w:rsidRPr="00BB527C" w:rsidRDefault="004D0801" w:rsidP="00707C97">
            <w:r>
              <w:t>4</w:t>
            </w:r>
          </w:p>
        </w:tc>
        <w:tc>
          <w:tcPr>
            <w:tcW w:w="4033" w:type="pct"/>
            <w:shd w:val="clear" w:color="auto" w:fill="auto"/>
          </w:tcPr>
          <w:p w14:paraId="306CD8FF" w14:textId="77777777" w:rsidR="004D0801" w:rsidRPr="00BB527C" w:rsidDel="00BB527C" w:rsidRDefault="004D0801" w:rsidP="00707C97">
            <w:pPr>
              <w:rPr>
                <w:rFonts w:cs="Arial"/>
              </w:rPr>
            </w:pPr>
            <w:r>
              <w:t>Amendment to definitions of legislation to include the words ‘as modified from time to time’ or ‘as amended from time to time’.</w:t>
            </w:r>
          </w:p>
        </w:tc>
      </w:tr>
      <w:tr w:rsidR="004D0801" w:rsidRPr="00BB527C" w14:paraId="64A3CDA2" w14:textId="77777777" w:rsidTr="00707C97">
        <w:tc>
          <w:tcPr>
            <w:tcW w:w="5000" w:type="pct"/>
            <w:gridSpan w:val="2"/>
            <w:shd w:val="clear" w:color="auto" w:fill="auto"/>
          </w:tcPr>
          <w:p w14:paraId="1A7DBC0C" w14:textId="77777777" w:rsidR="004D0801" w:rsidRPr="00961DA6" w:rsidRDefault="004D0801" w:rsidP="00707C97">
            <w:pPr>
              <w:rPr>
                <w:b/>
              </w:rPr>
            </w:pPr>
            <w:r w:rsidRPr="00961DA6">
              <w:rPr>
                <w:b/>
              </w:rPr>
              <w:t>Points applying to GHG</w:t>
            </w:r>
            <w:r>
              <w:rPr>
                <w:b/>
              </w:rPr>
              <w:t>E</w:t>
            </w:r>
            <w:r w:rsidRPr="00961DA6">
              <w:rPr>
                <w:b/>
              </w:rPr>
              <w:t xml:space="preserve"> Permit Holders Only </w:t>
            </w:r>
          </w:p>
        </w:tc>
      </w:tr>
      <w:tr w:rsidR="004D0801" w:rsidRPr="00BB527C" w14:paraId="1D28EBB9" w14:textId="77777777" w:rsidTr="00707C97">
        <w:trPr>
          <w:trHeight w:val="548"/>
        </w:trPr>
        <w:tc>
          <w:tcPr>
            <w:tcW w:w="967" w:type="pct"/>
            <w:shd w:val="clear" w:color="auto" w:fill="auto"/>
          </w:tcPr>
          <w:p w14:paraId="7B149F4F" w14:textId="77777777" w:rsidR="004D0801" w:rsidRDefault="004D0801" w:rsidP="00707C97">
            <w:r>
              <w:t>5</w:t>
            </w:r>
          </w:p>
        </w:tc>
        <w:tc>
          <w:tcPr>
            <w:tcW w:w="4033" w:type="pct"/>
            <w:shd w:val="clear" w:color="auto" w:fill="auto"/>
          </w:tcPr>
          <w:p w14:paraId="61308346" w14:textId="77777777" w:rsidR="004D0801" w:rsidRPr="004E1054" w:rsidRDefault="004D0801" w:rsidP="00707C97">
            <w:pPr>
              <w:widowControl/>
              <w:spacing w:before="0" w:beforeAutospacing="0" w:after="0" w:afterAutospacing="0"/>
              <w:rPr>
                <w:rFonts w:ascii="Calibri" w:hAnsi="Calibri"/>
                <w:snapToGrid/>
                <w:lang w:val="en-GB"/>
              </w:rPr>
            </w:pPr>
            <w:r>
              <w:t>Simplification of the free allocation condition 11 (formerly condition 12).</w:t>
            </w:r>
          </w:p>
        </w:tc>
      </w:tr>
      <w:tr w:rsidR="004D0801" w:rsidRPr="00BB527C" w14:paraId="10DC240F" w14:textId="77777777" w:rsidTr="00707C97">
        <w:tc>
          <w:tcPr>
            <w:tcW w:w="967" w:type="pct"/>
            <w:shd w:val="clear" w:color="auto" w:fill="auto"/>
          </w:tcPr>
          <w:p w14:paraId="45E7E323" w14:textId="77777777" w:rsidR="004D0801" w:rsidRDefault="004D0801" w:rsidP="00707C97">
            <w:r>
              <w:t>6</w:t>
            </w:r>
          </w:p>
        </w:tc>
        <w:tc>
          <w:tcPr>
            <w:tcW w:w="4033" w:type="pct"/>
            <w:shd w:val="clear" w:color="auto" w:fill="auto"/>
          </w:tcPr>
          <w:p w14:paraId="6C0181C4" w14:textId="77777777" w:rsidR="004D0801" w:rsidRDefault="004D0801" w:rsidP="00707C97">
            <w:r>
              <w:t>Deletion of free allocation condition 15 (formerly condition 16).</w:t>
            </w:r>
          </w:p>
        </w:tc>
      </w:tr>
      <w:tr w:rsidR="004D0801" w:rsidRPr="00BB527C" w14:paraId="100EAB84" w14:textId="77777777" w:rsidTr="00707C97">
        <w:tc>
          <w:tcPr>
            <w:tcW w:w="967" w:type="pct"/>
            <w:shd w:val="clear" w:color="auto" w:fill="auto"/>
          </w:tcPr>
          <w:p w14:paraId="685FFDA2" w14:textId="77777777" w:rsidR="004D0801" w:rsidRDefault="004D0801" w:rsidP="00707C97">
            <w:r>
              <w:t>7</w:t>
            </w:r>
          </w:p>
        </w:tc>
        <w:tc>
          <w:tcPr>
            <w:tcW w:w="4033" w:type="pct"/>
            <w:shd w:val="clear" w:color="auto" w:fill="auto"/>
          </w:tcPr>
          <w:p w14:paraId="459213CE" w14:textId="77777777" w:rsidR="004D0801" w:rsidRDefault="004D0801" w:rsidP="00707C97">
            <w:r>
              <w:t>Amendment to the definition of ‘verification report’.</w:t>
            </w:r>
          </w:p>
        </w:tc>
      </w:tr>
    </w:tbl>
    <w:p w14:paraId="59107121" w14:textId="28EE95BE" w:rsidR="004E1B81" w:rsidRPr="004D0801" w:rsidRDefault="004D0801">
      <w:pPr>
        <w:rPr>
          <w:rFonts w:cs="Arial"/>
        </w:rPr>
      </w:pPr>
      <w:r w:rsidRPr="00BB527C">
        <w:rPr>
          <w:rFonts w:cs="Arial"/>
        </w:rPr>
        <w:t>The variations are incorporated into a consolidated version of the permit attached to this notice.</w:t>
      </w:r>
    </w:p>
    <w:sectPr w:rsidR="004E1B81" w:rsidRPr="004D0801" w:rsidSect="008D7678">
      <w:footerReference w:type="default" r:id="rId15"/>
      <w:endnotePr>
        <w:numFmt w:val="decimal"/>
      </w:endnotePr>
      <w:pgSz w:w="11906" w:h="16838"/>
      <w:pgMar w:top="1440" w:right="1080" w:bottom="1440" w:left="1080" w:header="142" w:footer="720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7CE60" w14:textId="77777777" w:rsidR="00206D68" w:rsidRDefault="00206D68" w:rsidP="004D0801">
      <w:pPr>
        <w:spacing w:before="0" w:after="0"/>
      </w:pPr>
      <w:r>
        <w:separator/>
      </w:r>
    </w:p>
  </w:endnote>
  <w:endnote w:type="continuationSeparator" w:id="0">
    <w:p w14:paraId="6FFAFAE7" w14:textId="77777777" w:rsidR="00206D68" w:rsidRDefault="00206D68" w:rsidP="004D080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67A9C" w14:textId="77777777" w:rsidR="004D0801" w:rsidRDefault="004D08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B8941" w14:textId="77777777" w:rsidR="004D0801" w:rsidRDefault="004D08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FB616" w14:textId="77777777" w:rsidR="004D0801" w:rsidRDefault="004D080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C1F63" w14:textId="77777777" w:rsidR="00532BB6" w:rsidRPr="003915DC" w:rsidRDefault="00000000" w:rsidP="00C060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27E85" w14:textId="77777777" w:rsidR="00206D68" w:rsidRDefault="00206D68" w:rsidP="004D0801">
      <w:pPr>
        <w:spacing w:before="0" w:after="0"/>
      </w:pPr>
      <w:r>
        <w:separator/>
      </w:r>
    </w:p>
  </w:footnote>
  <w:footnote w:type="continuationSeparator" w:id="0">
    <w:p w14:paraId="19EF7C1F" w14:textId="77777777" w:rsidR="00206D68" w:rsidRDefault="00206D68" w:rsidP="004D080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20610" w14:textId="77777777" w:rsidR="004D0801" w:rsidRDefault="004D08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7429E" w14:textId="77777777" w:rsidR="004D0801" w:rsidRDefault="004D08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65967" w14:textId="77777777" w:rsidR="004D0801" w:rsidRDefault="004D08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24CBA"/>
    <w:multiLevelType w:val="hybridMultilevel"/>
    <w:tmpl w:val="77266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67375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8CB"/>
    <w:rsid w:val="000D340A"/>
    <w:rsid w:val="00206D68"/>
    <w:rsid w:val="00454E05"/>
    <w:rsid w:val="004D0801"/>
    <w:rsid w:val="004E1B81"/>
    <w:rsid w:val="00723375"/>
    <w:rsid w:val="007B20F2"/>
    <w:rsid w:val="00890D69"/>
    <w:rsid w:val="00CC6FFF"/>
    <w:rsid w:val="00D078CB"/>
    <w:rsid w:val="00D6296A"/>
    <w:rsid w:val="00F8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41D6F"/>
  <w15:chartTrackingRefBased/>
  <w15:docId w15:val="{5D8C55E1-E64A-419E-9A42-020000FBD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801"/>
    <w:pPr>
      <w:widowControl w:val="0"/>
      <w:spacing w:before="100" w:beforeAutospacing="1" w:after="100" w:afterAutospacing="1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D0801"/>
    <w:pPr>
      <w:keepNext/>
      <w:spacing w:before="360" w:beforeAutospacing="0" w:after="240" w:afterAutospacing="0" w:line="201" w:lineRule="exact"/>
      <w:jc w:val="center"/>
      <w:outlineLvl w:val="0"/>
    </w:pPr>
    <w:rPr>
      <w:b/>
      <w:sz w:val="48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8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D0801"/>
    <w:rPr>
      <w:rFonts w:ascii="Arial" w:eastAsia="Times New Roman" w:hAnsi="Arial" w:cs="Times New Roman"/>
      <w:b/>
      <w:snapToGrid w:val="0"/>
      <w:sz w:val="48"/>
      <w:szCs w:val="20"/>
      <w:lang w:val="en-GB"/>
    </w:rPr>
  </w:style>
  <w:style w:type="paragraph" w:styleId="Footer">
    <w:name w:val="footer"/>
    <w:basedOn w:val="Normal"/>
    <w:link w:val="FooterChar"/>
    <w:rsid w:val="004D080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D0801"/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Heading3nonum">
    <w:name w:val="Heading 3 nonum"/>
    <w:basedOn w:val="Heading3"/>
    <w:rsid w:val="004D0801"/>
    <w:pPr>
      <w:keepNext w:val="0"/>
      <w:widowControl/>
      <w:spacing w:before="120" w:after="100" w:line="270" w:lineRule="exact"/>
    </w:pPr>
    <w:rPr>
      <w:rFonts w:ascii="Arial" w:eastAsia="Times New Roman" w:hAnsi="Arial" w:cs="Times New Roman"/>
      <w:snapToGrid/>
      <w:color w:val="auto"/>
      <w:sz w:val="20"/>
      <w:szCs w:val="20"/>
      <w:lang w:val="en-GB"/>
    </w:rPr>
  </w:style>
  <w:style w:type="character" w:customStyle="1" w:styleId="change">
    <w:name w:val="change"/>
    <w:rsid w:val="004D0801"/>
    <w:rPr>
      <w:color w:val="FF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801"/>
    <w:rPr>
      <w:rFonts w:asciiTheme="majorHAnsi" w:eastAsiaTheme="majorEastAsia" w:hAnsiTheme="majorHAnsi" w:cstheme="majorBidi"/>
      <w:snapToGrid w:val="0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D080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4D0801"/>
    <w:rPr>
      <w:rFonts w:ascii="Arial" w:eastAsia="Times New Roman" w:hAnsi="Arial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969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KLIROPOULOS</dc:creator>
  <cp:keywords/>
  <dc:description/>
  <cp:lastModifiedBy>KLIROPOULOS Georgios</cp:lastModifiedBy>
  <cp:revision>3</cp:revision>
  <dcterms:created xsi:type="dcterms:W3CDTF">2023-05-26T09:17:00Z</dcterms:created>
  <dcterms:modified xsi:type="dcterms:W3CDTF">2023-06-27T08:09:00Z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2f585-b40f-4ab9-bafe-39150f03d124_Enabled">
    <vt:lpwstr>true</vt:lpwstr>
  </property>
  <property fmtid="{D5CDD505-2E9C-101B-9397-08002B2CF9AE}" pid="3" name="MSIP_Label_ba62f585-b40f-4ab9-bafe-39150f03d124_SetDate">
    <vt:lpwstr>2023-05-26T09:14:23Z</vt:lpwstr>
  </property>
  <property fmtid="{D5CDD505-2E9C-101B-9397-08002B2CF9AE}" pid="4" name="MSIP_Label_ba62f585-b40f-4ab9-bafe-39150f03d124_Method">
    <vt:lpwstr>Standard</vt:lpwstr>
  </property>
  <property fmtid="{D5CDD505-2E9C-101B-9397-08002B2CF9AE}" pid="5" name="MSIP_Label_ba62f585-b40f-4ab9-bafe-39150f03d124_Name">
    <vt:lpwstr>OFFICIAL</vt:lpwstr>
  </property>
  <property fmtid="{D5CDD505-2E9C-101B-9397-08002B2CF9AE}" pid="6" name="MSIP_Label_ba62f585-b40f-4ab9-bafe-39150f03d124_SiteId">
    <vt:lpwstr>cbac7005-02c1-43eb-b497-e6492d1b2dd8</vt:lpwstr>
  </property>
  <property fmtid="{D5CDD505-2E9C-101B-9397-08002B2CF9AE}" pid="7" name="MSIP_Label_ba62f585-b40f-4ab9-bafe-39150f03d124_ActionId">
    <vt:lpwstr>f5844af1-7677-4c2b-bad3-8fbc24b0edb4</vt:lpwstr>
  </property>
  <property fmtid="{D5CDD505-2E9C-101B-9397-08002B2CF9AE}" pid="8" name="MSIP_Label_ba62f585-b40f-4ab9-bafe-39150f03d124_ContentBits">
    <vt:lpwstr>0</vt:lpwstr>
  </property>
</Properties>
</file>