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E4DFC" w:rsidRPr="00690954" w14:paraId="3D61D1C5" w14:textId="77777777" w:rsidTr="00AA0929">
        <w:tblPrEx>
          <w:tblCellMar>
            <w:top w:w="0" w:type="dxa"/>
            <w:bottom w:w="0" w:type="dxa"/>
          </w:tblCellMar>
        </w:tblPrEx>
        <w:trPr>
          <w:cantSplit/>
        </w:trPr>
        <w:tc>
          <w:tcPr>
            <w:tcW w:w="5815" w:type="dxa"/>
          </w:tcPr>
          <w:p w14:paraId="747CFDF0" w14:textId="77777777" w:rsidR="004E4DFC" w:rsidRPr="00200889" w:rsidRDefault="004E4DFC" w:rsidP="00AA0929"/>
        </w:tc>
        <w:tc>
          <w:tcPr>
            <w:tcW w:w="3630" w:type="dxa"/>
          </w:tcPr>
          <w:p w14:paraId="7A26CBB5" w14:textId="60ABA22A" w:rsidR="004E4DFC" w:rsidRPr="00690954" w:rsidRDefault="004E4DFC" w:rsidP="00AA0929">
            <w:bookmarkStart w:id="0" w:name="competentAuthorityLogo"/>
            <w:r>
              <w:rPr>
                <w:noProof/>
              </w:rPr>
              <w:drawing>
                <wp:inline distT="0" distB="0" distL="0" distR="0" wp14:anchorId="6F0F2C1F" wp14:editId="23A088C5">
                  <wp:extent cx="2158365" cy="2310765"/>
                  <wp:effectExtent l="0" t="0" r="0" b="0"/>
                  <wp:docPr id="193141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0"/>
          </w:p>
        </w:tc>
      </w:tr>
    </w:tbl>
    <w:p w14:paraId="1AAC8F5B" w14:textId="718E148F" w:rsidR="004E4DFC" w:rsidRPr="00F473F7" w:rsidRDefault="002E360A" w:rsidP="004E4DFC">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p w14:paraId="690444BD" w14:textId="613B6750" w:rsidR="004E4DFC" w:rsidRPr="004E4DFC" w:rsidRDefault="006C4251" w:rsidP="004E4DFC">
      <w:pPr>
        <w:rPr>
          <w:rStyle w:val="change"/>
          <w:rFonts w:cs="Arial"/>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${(account.legalEntityName)!}  \* MERGEFORMAT </w:instrText>
      </w:r>
      <w:r>
        <w:rPr>
          <w:rStyle w:val="change"/>
          <w:rFonts w:cs="Arial"/>
          <w:color w:val="000000" w:themeColor="text1"/>
        </w:rPr>
        <w:fldChar w:fldCharType="separate"/>
      </w:r>
      <w:r>
        <w:rPr>
          <w:rStyle w:val="change"/>
          <w:rFonts w:cs="Arial"/>
          <w:noProof/>
          <w:color w:val="000000" w:themeColor="text1"/>
        </w:rPr>
        <w:t>«${(account.legalEntityName)!}»</w:t>
      </w:r>
      <w:r>
        <w:rPr>
          <w:rStyle w:val="change"/>
          <w:rFonts w:cs="Arial"/>
          <w:color w:val="000000" w:themeColor="text1"/>
        </w:rPr>
        <w:fldChar w:fldCharType="end"/>
      </w:r>
    </w:p>
    <w:p w14:paraId="63CDE6B7" w14:textId="18C64E53" w:rsidR="004E4DFC" w:rsidRPr="00F473F7" w:rsidRDefault="006C4251" w:rsidP="004E4DFC">
      <w:pPr>
        <w:rPr>
          <w:rFonts w:cs="Arial"/>
        </w:rPr>
      </w:pPr>
      <w:r>
        <w:rPr>
          <w:rFonts w:cs="Arial"/>
        </w:rPr>
        <w:fldChar w:fldCharType="begin"/>
      </w:r>
      <w:r>
        <w:rPr>
          <w:rFonts w:cs="Arial"/>
        </w:rPr>
        <w:instrText xml:space="preserve"> MERGEFIELD  ${params.toRecipient}  \* MERGEFORMAT </w:instrText>
      </w:r>
      <w:r>
        <w:rPr>
          <w:rFonts w:cs="Arial"/>
        </w:rPr>
        <w:fldChar w:fldCharType="separate"/>
      </w:r>
      <w:r>
        <w:rPr>
          <w:rFonts w:cs="Arial"/>
          <w:noProof/>
        </w:rPr>
        <w:t>«${params.toRecipient}»</w:t>
      </w:r>
      <w:r>
        <w:rPr>
          <w:rFonts w:cs="Arial"/>
        </w:rPr>
        <w:fldChar w:fldCharType="end"/>
      </w:r>
    </w:p>
    <w:p w14:paraId="6D18F56F" w14:textId="1F1B6565" w:rsidR="004E4DFC" w:rsidRPr="00F473F7" w:rsidRDefault="004E4DFC" w:rsidP="004E4DFC">
      <w:pPr>
        <w:autoSpaceDE w:val="0"/>
        <w:autoSpaceDN w:val="0"/>
        <w:adjustRightInd w:val="0"/>
        <w:rPr>
          <w:rFonts w:cs="Arial"/>
        </w:rPr>
      </w:pPr>
      <w:r w:rsidRPr="00F473F7">
        <w:rPr>
          <w:rFonts w:cs="Arial"/>
        </w:rPr>
        <w:t xml:space="preserve">FAO: </w:t>
      </w:r>
      <w:r w:rsidR="006C4251">
        <w:rPr>
          <w:rFonts w:cs="Arial"/>
        </w:rPr>
        <w:fldChar w:fldCharType="begin"/>
      </w:r>
      <w:r w:rsidR="006C4251">
        <w:rPr>
          <w:rFonts w:cs="Arial"/>
        </w:rPr>
        <w:instrText xml:space="preserve"> MERGEFIELD  ${(account.serviceContact)!}  \* MERGEFORMAT </w:instrText>
      </w:r>
      <w:r w:rsidR="006C4251">
        <w:rPr>
          <w:rFonts w:cs="Arial"/>
        </w:rPr>
        <w:fldChar w:fldCharType="separate"/>
      </w:r>
      <w:r w:rsidR="006C4251">
        <w:rPr>
          <w:rFonts w:cs="Arial"/>
          <w:noProof/>
        </w:rPr>
        <w:t>«${(account.serviceContact)!}»</w:t>
      </w:r>
      <w:r w:rsidR="006C4251">
        <w:rPr>
          <w:rFonts w:cs="Arial"/>
        </w:rPr>
        <w:fldChar w:fldCharType="end"/>
      </w:r>
    </w:p>
    <w:p w14:paraId="718CA64C" w14:textId="77777777" w:rsidR="004E4DFC" w:rsidRPr="00F473F7" w:rsidRDefault="004E4DFC" w:rsidP="004E4DFC">
      <w:pPr>
        <w:rPr>
          <w:rFonts w:cs="Arial"/>
        </w:rPr>
      </w:pPr>
      <w:r w:rsidRPr="00F473F7">
        <w:rPr>
          <w:rFonts w:cs="Arial"/>
        </w:rPr>
        <w:t>Dear Sir / Madam</w:t>
      </w:r>
      <w:r w:rsidRPr="00F473F7" w:rsidDel="00AB6BB7">
        <w:rPr>
          <w:rFonts w:cs="Arial"/>
        </w:rPr>
        <w:t xml:space="preserve"> </w:t>
      </w:r>
    </w:p>
    <w:p w14:paraId="3BD49EEE" w14:textId="77777777" w:rsidR="004E4DFC" w:rsidRPr="00F473F7" w:rsidRDefault="004E4DFC" w:rsidP="004E4DFC">
      <w:pPr>
        <w:rPr>
          <w:rFonts w:cs="Arial"/>
          <w:b/>
        </w:rPr>
      </w:pPr>
      <w:r w:rsidRPr="00F473F7">
        <w:rPr>
          <w:rFonts w:cs="Arial"/>
          <w:b/>
        </w:rPr>
        <w:t xml:space="preserve">THE GREENHOUSE GAS EMISSIONS TRADING SCHEME </w:t>
      </w:r>
      <w:r>
        <w:rPr>
          <w:rFonts w:cs="Arial"/>
          <w:b/>
        </w:rPr>
        <w:t>ORDER (SI 2020, No.1265) (the Order)</w:t>
      </w:r>
    </w:p>
    <w:p w14:paraId="66E1EAE6" w14:textId="35A27DEC" w:rsidR="004E4DFC" w:rsidRPr="00F473F7" w:rsidRDefault="004E4DFC" w:rsidP="004E4DFC">
      <w:pPr>
        <w:rPr>
          <w:rFonts w:cs="Arial"/>
        </w:rPr>
      </w:pPr>
      <w:r w:rsidRPr="00F473F7">
        <w:rPr>
          <w:rFonts w:cs="Arial"/>
          <w:b/>
        </w:rPr>
        <w:t>Permit reference:</w:t>
      </w:r>
      <w:r w:rsidRPr="00F473F7">
        <w:rPr>
          <w:rFonts w:cs="Arial"/>
        </w:rPr>
        <w:t xml:space="preserve"> </w:t>
      </w:r>
      <w:r w:rsidR="006C4251">
        <w:rPr>
          <w:rFonts w:cs="Arial"/>
        </w:rPr>
        <w:fldChar w:fldCharType="begin"/>
      </w:r>
      <w:r w:rsidR="006C4251">
        <w:rPr>
          <w:rFonts w:cs="Arial"/>
        </w:rPr>
        <w:instrText xml:space="preserve"> MERGEFIELD  ${(permitId)!}  \* MERGEFORMAT </w:instrText>
      </w:r>
      <w:r w:rsidR="006C4251">
        <w:rPr>
          <w:rFonts w:cs="Arial"/>
        </w:rPr>
        <w:fldChar w:fldCharType="separate"/>
      </w:r>
      <w:r w:rsidR="006C4251">
        <w:rPr>
          <w:rFonts w:cs="Arial"/>
          <w:noProof/>
        </w:rPr>
        <w:t>«${(permitId)!}»</w:t>
      </w:r>
      <w:r w:rsidR="006C4251">
        <w:rPr>
          <w:rFonts w:cs="Arial"/>
        </w:rPr>
        <w:fldChar w:fldCharType="end"/>
      </w:r>
    </w:p>
    <w:p w14:paraId="03FD5C9D" w14:textId="1F8F25B1" w:rsidR="004E4DFC" w:rsidRPr="00F473F7" w:rsidRDefault="004E4DFC" w:rsidP="004E4DFC">
      <w:pPr>
        <w:rPr>
          <w:rFonts w:cs="Arial"/>
        </w:rPr>
      </w:pPr>
      <w:r w:rsidRPr="00F473F7">
        <w:rPr>
          <w:rFonts w:cs="Arial"/>
          <w:b/>
        </w:rPr>
        <w:t xml:space="preserve">Issue of </w:t>
      </w:r>
      <w:r>
        <w:rPr>
          <w:rFonts w:cs="Arial"/>
          <w:b/>
        </w:rPr>
        <w:t>Notice of Conversion</w:t>
      </w:r>
      <w:r w:rsidRPr="00F473F7">
        <w:rPr>
          <w:rFonts w:cs="Arial"/>
          <w:b/>
        </w:rPr>
        <w:t xml:space="preserve"> to:</w:t>
      </w:r>
      <w:r w:rsidRPr="00F473F7">
        <w:rPr>
          <w:rFonts w:cs="Arial"/>
        </w:rPr>
        <w:t xml:space="preserve"> </w:t>
      </w:r>
      <w:r w:rsidR="006C4251">
        <w:rPr>
          <w:rFonts w:cs="Arial"/>
        </w:rPr>
        <w:fldChar w:fldCharType="begin"/>
      </w:r>
      <w:r w:rsidR="006C4251">
        <w:rPr>
          <w:rFonts w:cs="Arial"/>
        </w:rPr>
        <w:instrText xml:space="preserve"> MERGEFIELD  ${(account.name)!}  \* MERGEFORMAT </w:instrText>
      </w:r>
      <w:r w:rsidR="006C4251">
        <w:rPr>
          <w:rFonts w:cs="Arial"/>
        </w:rPr>
        <w:fldChar w:fldCharType="separate"/>
      </w:r>
      <w:r w:rsidR="006C4251">
        <w:rPr>
          <w:rFonts w:cs="Arial"/>
          <w:noProof/>
        </w:rPr>
        <w:t>«${(account.name)!}»</w:t>
      </w:r>
      <w:r w:rsidR="006C4251">
        <w:rPr>
          <w:rFonts w:cs="Arial"/>
        </w:rPr>
        <w:fldChar w:fldCharType="end"/>
      </w:r>
    </w:p>
    <w:p w14:paraId="29D6AB75" w14:textId="77777777" w:rsidR="004E4DFC" w:rsidRPr="00F473F7" w:rsidRDefault="004E4DFC" w:rsidP="004E4DFC">
      <w:r w:rsidRPr="00F473F7">
        <w:t xml:space="preserve">The </w:t>
      </w:r>
      <w:r>
        <w:rPr>
          <w:rFonts w:cs="Arial"/>
        </w:rPr>
        <w:t xml:space="preserve">Scottish Environment Protection Agency (SEPA) </w:t>
      </w:r>
      <w:r w:rsidRPr="00F473F7">
        <w:t>is</w:t>
      </w:r>
      <w:r w:rsidRPr="007B753F">
        <w:t xml:space="preserve"> converting your permit issued under the Greenhouse Gas Emissions Trading Scheme Regulations 2005 or 2012 (the EU ETS Regulations) into a greenhouse gas emissions permit which satisfies the requirements of the Order</w:t>
      </w:r>
      <w:r>
        <w:t>.  The conversion is being effected in accordance with Article 77 and Schedule 11</w:t>
      </w:r>
      <w:r w:rsidRPr="00F473F7">
        <w:t xml:space="preserve"> of the </w:t>
      </w:r>
      <w:r>
        <w:t>Order</w:t>
      </w:r>
      <w:r w:rsidRPr="00F473F7">
        <w:t xml:space="preserve">.  The </w:t>
      </w:r>
      <w:r>
        <w:t xml:space="preserve">notice of conversion </w:t>
      </w:r>
      <w:r w:rsidRPr="00F473F7">
        <w:t xml:space="preserve">and </w:t>
      </w:r>
      <w:r>
        <w:t>the converted</w:t>
      </w:r>
      <w:r w:rsidRPr="00F473F7">
        <w:t xml:space="preserve"> permit are attached to this letter.</w:t>
      </w:r>
    </w:p>
    <w:p w14:paraId="2B7C78BA" w14:textId="77777777" w:rsidR="004E4DFC" w:rsidRDefault="004E4DFC" w:rsidP="004E4DFC">
      <w:r w:rsidRPr="00F473F7">
        <w:t xml:space="preserve">The </w:t>
      </w:r>
      <w:r>
        <w:t xml:space="preserve">converted </w:t>
      </w:r>
      <w:r w:rsidRPr="00F473F7">
        <w:t>permit</w:t>
      </w:r>
      <w:r>
        <w:t xml:space="preserve"> is for the purposes of the UK Emissions Trading Scheme.  It comes into effect on 1 January 2021 and you must comply with its conditions from that date.</w:t>
      </w:r>
    </w:p>
    <w:p w14:paraId="61304D83" w14:textId="77777777" w:rsidR="004E4DFC" w:rsidRDefault="004E4DFC" w:rsidP="004E4DFC">
      <w:r>
        <w:t xml:space="preserve">The converted permit contains   conditions relating to the monitoring and reporting of emissions as well as surrendering of allowances.   It will be varied in January 2021 to include further conditions relating to the free allocation of allowances and a consolidated permit incorporating those variations will be issued at the same time. </w:t>
      </w:r>
    </w:p>
    <w:p w14:paraId="151A818B" w14:textId="77777777" w:rsidR="004E4DFC" w:rsidRDefault="004E4DFC" w:rsidP="004E4DFC">
      <w:r>
        <w:t xml:space="preserve">The reasons for SEPA issuing the converted permit and then a variation in close succession is because amendments are being made to the Order in respect of free allocation; these will not come into force until 31 December 2020. We requested that you do not to make any applications for a permit variation after 6 November 2020; this request remains in place until you have received the varied permit from us in January 2021.  </w:t>
      </w:r>
    </w:p>
    <w:p w14:paraId="34E87B00" w14:textId="77777777" w:rsidR="004E4DFC" w:rsidRPr="000B219F" w:rsidRDefault="004E4DFC" w:rsidP="004E4DFC">
      <w:pPr>
        <w:rPr>
          <w:b/>
          <w:bCs/>
        </w:rPr>
      </w:pPr>
      <w:r w:rsidRPr="000B219F">
        <w:rPr>
          <w:b/>
          <w:bCs/>
        </w:rPr>
        <w:t>2020 Scheme Year Compliance</w:t>
      </w:r>
    </w:p>
    <w:p w14:paraId="55C3901B" w14:textId="77777777" w:rsidR="004E4DFC" w:rsidRDefault="004E4DFC" w:rsidP="004E4DFC">
      <w:r>
        <w:t xml:space="preserve">We would also like to take this opportunity to remind you that the Greenhouse Gas Emission Trading Scheme Regulations 2012 (as amended) are still in force for the purposes of emissions monitoring and reporting for the 2020 scheme year and preceding years. This means that you must continue to monitor your emissions in </w:t>
      </w:r>
      <w:r>
        <w:lastRenderedPageBreak/>
        <w:t xml:space="preserve">compliance with those Regulations. You must still make your final emissions report under the EU ETS Regulations by 31 March 2021 and you must surrender the relevant allowances to the Registry by 30 April 2021. Failure to do so will result in non-compliances under those Regulations. </w:t>
      </w:r>
    </w:p>
    <w:p w14:paraId="4A7C453B" w14:textId="77777777" w:rsidR="004E4DFC" w:rsidRPr="00F473F7" w:rsidRDefault="004E4DFC" w:rsidP="004E4DFC">
      <w:r w:rsidRPr="00F473F7">
        <w:t xml:space="preserve">Please quote your permit reference in all future correspondence with </w:t>
      </w:r>
      <w:r>
        <w:rPr>
          <w:rFonts w:cs="Arial"/>
        </w:rPr>
        <w:t>SEPA</w:t>
      </w:r>
    </w:p>
    <w:p w14:paraId="1C78D814" w14:textId="77777777" w:rsidR="004E4DFC" w:rsidRPr="00F473F7" w:rsidRDefault="004E4DFC" w:rsidP="004E4DFC">
      <w:r w:rsidRPr="00F473F7">
        <w:t xml:space="preserve">If you require any clarification of the above, please do not hesitate to contact a member of the Emissions Trading Team either directly or by e-mail to </w:t>
      </w:r>
      <w:hyperlink r:id="rId6" w:history="1">
        <w:r w:rsidRPr="005F04C7">
          <w:rPr>
            <w:rStyle w:val="Hyperlink"/>
            <w:rFonts w:cs="Arial"/>
          </w:rPr>
          <w:t>emission.trading@sepa.org.uk</w:t>
        </w:r>
      </w:hyperlink>
      <w:r>
        <w:rPr>
          <w:rFonts w:cs="Arial"/>
        </w:rPr>
        <w:t xml:space="preserve"> </w:t>
      </w:r>
    </w:p>
    <w:p w14:paraId="63064377" w14:textId="77777777" w:rsidR="004E4DFC" w:rsidRPr="00F473F7" w:rsidRDefault="004E4DFC" w:rsidP="004E4DFC"/>
    <w:p w14:paraId="02572206" w14:textId="77777777" w:rsidR="004E4DFC" w:rsidRPr="00F473F7" w:rsidRDefault="004E4DFC" w:rsidP="004E4DFC">
      <w:r w:rsidRPr="00F473F7">
        <w:t>Yours faithfully</w:t>
      </w:r>
    </w:p>
    <w:p w14:paraId="63C0E1F8" w14:textId="43BA4332" w:rsidR="004E4DFC" w:rsidRPr="00F473F7" w:rsidRDefault="004E4DFC" w:rsidP="004E4DFC">
      <w:pPr>
        <w:rPr>
          <w:rFonts w:cs="Arial"/>
        </w:rPr>
      </w:pPr>
      <w:bookmarkStart w:id="1" w:name="signature"/>
      <w:r>
        <w:rPr>
          <w:rFonts w:cs="Arial"/>
          <w:noProof/>
        </w:rPr>
        <w:drawing>
          <wp:inline distT="0" distB="0" distL="0" distR="0" wp14:anchorId="495D17D1" wp14:editId="4B2ACAFE">
            <wp:extent cx="1438910" cy="1542415"/>
            <wp:effectExtent l="0" t="0" r="8890" b="635"/>
            <wp:docPr id="1416734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
    </w:p>
    <w:p w14:paraId="79A9E439" w14:textId="4A65F643" w:rsidR="004E4DFC" w:rsidRPr="00F473F7" w:rsidRDefault="008042B1" w:rsidP="004E4DFC">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645B67DD" w14:textId="10CF57B8" w:rsidR="004E4DFC" w:rsidRPr="00690954" w:rsidRDefault="004E4DFC" w:rsidP="004E4DFC">
      <w:pPr>
        <w:sectPr w:rsidR="004E4DFC" w:rsidRPr="00690954" w:rsidSect="004E4DFC">
          <w:endnotePr>
            <w:numFmt w:val="decimal"/>
          </w:endnotePr>
          <w:pgSz w:w="11906" w:h="16838"/>
          <w:pgMar w:top="1440" w:right="1080" w:bottom="1440" w:left="1080" w:header="142" w:footer="720" w:gutter="0"/>
          <w:cols w:space="720"/>
          <w:noEndnote/>
          <w:docGrid w:linePitch="272"/>
        </w:sect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3686"/>
      </w:tblGrid>
      <w:tr w:rsidR="004E4DFC" w:rsidRPr="00690954" w14:paraId="29A05837" w14:textId="77777777" w:rsidTr="00F05C0F">
        <w:tblPrEx>
          <w:tblCellMar>
            <w:top w:w="0" w:type="dxa"/>
            <w:bottom w:w="0" w:type="dxa"/>
          </w:tblCellMar>
        </w:tblPrEx>
        <w:tc>
          <w:tcPr>
            <w:tcW w:w="5812" w:type="dxa"/>
            <w:shd w:val="clear" w:color="auto" w:fill="000000" w:themeFill="text1"/>
          </w:tcPr>
          <w:p w14:paraId="21AC757C" w14:textId="77777777" w:rsidR="004E4DFC" w:rsidRPr="00690954" w:rsidRDefault="004E4DFC" w:rsidP="00AA0929">
            <w:pPr>
              <w:rPr>
                <w:rFonts w:ascii="Arial Black" w:hAnsi="Arial Black"/>
              </w:rPr>
            </w:pPr>
            <w:r w:rsidRPr="00F05C0F">
              <w:rPr>
                <w:color w:val="FFFFFF" w:themeColor="background1"/>
              </w:rPr>
              <w:lastRenderedPageBreak/>
              <w:br w:type="page"/>
            </w:r>
            <w:r w:rsidRPr="00F05C0F">
              <w:rPr>
                <w:rFonts w:cs="Arial"/>
                <w:color w:val="FFFFFF" w:themeColor="background1"/>
              </w:rPr>
              <w:br w:type="page"/>
            </w:r>
            <w:r w:rsidRPr="00F05C0F">
              <w:rPr>
                <w:rFonts w:cs="Arial"/>
                <w:color w:val="FFFFFF" w:themeColor="background1"/>
              </w:rPr>
              <w:br w:type="page"/>
            </w:r>
            <w:r w:rsidRPr="00F05C0F">
              <w:rPr>
                <w:color w:val="FFFFFF" w:themeColor="background1"/>
                <w:sz w:val="16"/>
              </w:rPr>
              <w:br w:type="page"/>
            </w:r>
            <w:r w:rsidRPr="00F05C0F">
              <w:rPr>
                <w:rFonts w:ascii="Arial Black" w:hAnsi="Arial Black"/>
                <w:color w:val="FFFFFF" w:themeColor="background1"/>
              </w:rPr>
              <w:t>Conversion Notice</w:t>
            </w:r>
          </w:p>
        </w:tc>
        <w:tc>
          <w:tcPr>
            <w:tcW w:w="3686" w:type="dxa"/>
            <w:shd w:val="clear" w:color="auto" w:fill="auto"/>
          </w:tcPr>
          <w:p w14:paraId="7023D49C" w14:textId="21E0B67C" w:rsidR="004E4DFC" w:rsidRPr="00690954" w:rsidRDefault="004E4DFC" w:rsidP="00AA0929">
            <w:pPr>
              <w:rPr>
                <w:rFonts w:cs="Arial"/>
              </w:rPr>
            </w:pPr>
            <w:bookmarkStart w:id="2" w:name="competentAuthorityLogo2"/>
            <w:r>
              <w:rPr>
                <w:rFonts w:cs="Arial"/>
                <w:noProof/>
              </w:rPr>
              <w:drawing>
                <wp:inline distT="0" distB="0" distL="0" distR="0" wp14:anchorId="40E1ABDB" wp14:editId="6B406E9F">
                  <wp:extent cx="2158365" cy="2310765"/>
                  <wp:effectExtent l="0" t="0" r="0" b="0"/>
                  <wp:docPr id="69854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2310765"/>
                          </a:xfrm>
                          <a:prstGeom prst="rect">
                            <a:avLst/>
                          </a:prstGeom>
                          <a:noFill/>
                        </pic:spPr>
                      </pic:pic>
                    </a:graphicData>
                  </a:graphic>
                </wp:inline>
              </w:drawing>
            </w:r>
            <w:bookmarkEnd w:id="2"/>
          </w:p>
        </w:tc>
      </w:tr>
    </w:tbl>
    <w:p w14:paraId="0764ED0E" w14:textId="77777777" w:rsidR="004E4DFC" w:rsidRDefault="004E4DFC" w:rsidP="004E4DFC">
      <w:r w:rsidRPr="00F473F7">
        <w:rPr>
          <w:rFonts w:cs="Arial"/>
          <w:b/>
        </w:rPr>
        <w:t xml:space="preserve">THE GREENHOUSE GAS EMISSIONS TRADING SCHEME </w:t>
      </w:r>
      <w:r>
        <w:rPr>
          <w:rFonts w:cs="Arial"/>
          <w:b/>
        </w:rPr>
        <w:t>ORDER (SI 2020, No.1265) (the Order)</w:t>
      </w:r>
      <w:r w:rsidRPr="00690954">
        <w:t xml:space="preserve"> </w:t>
      </w:r>
    </w:p>
    <w:p w14:paraId="45E6F8F8" w14:textId="77777777" w:rsidR="004E4DFC" w:rsidRPr="00690954" w:rsidRDefault="004E4DFC" w:rsidP="004E4DFC">
      <w:r>
        <w:t>Article</w:t>
      </w:r>
      <w:r w:rsidRPr="00690954">
        <w:t xml:space="preserve"> </w:t>
      </w:r>
      <w:r>
        <w:t xml:space="preserve">77 and Schedule 11 </w:t>
      </w:r>
    </w:p>
    <w:p w14:paraId="48EA157D" w14:textId="77777777" w:rsidR="004E4DFC" w:rsidRPr="00690954" w:rsidRDefault="004E4DFC" w:rsidP="004E4DFC">
      <w:pPr>
        <w:pStyle w:val="Heading1"/>
      </w:pPr>
      <w:r>
        <w:t>Permit Conversion</w:t>
      </w:r>
      <w:r w:rsidRPr="00690954">
        <w:t xml:space="preserve"> Notice</w:t>
      </w:r>
    </w:p>
    <w:p w14:paraId="57473C9E" w14:textId="6B4295EC" w:rsidR="004E4DFC" w:rsidRDefault="004E4DFC" w:rsidP="004E4DFC">
      <w:pPr>
        <w:rPr>
          <w:rFonts w:cs="Arial"/>
        </w:rPr>
      </w:pPr>
      <w:r w:rsidRPr="00690954">
        <w:rPr>
          <w:rFonts w:cs="Arial"/>
          <w:b/>
        </w:rPr>
        <w:t xml:space="preserve">Permit </w:t>
      </w:r>
      <w:r>
        <w:rPr>
          <w:rFonts w:cs="Arial"/>
          <w:b/>
        </w:rPr>
        <w:t>reference</w:t>
      </w:r>
      <w:r w:rsidRPr="00690954">
        <w:rPr>
          <w:rFonts w:cs="Arial"/>
          <w:b/>
        </w:rPr>
        <w:t xml:space="preserve">: </w:t>
      </w:r>
      <w:r w:rsidR="006C4251">
        <w:rPr>
          <w:rFonts w:cs="Arial"/>
        </w:rPr>
        <w:fldChar w:fldCharType="begin"/>
      </w:r>
      <w:r w:rsidR="006C4251">
        <w:rPr>
          <w:rFonts w:cs="Arial"/>
        </w:rPr>
        <w:instrText xml:space="preserve"> MERGEFIELD  ${(permitId)!}  \* MERGEFORMAT </w:instrText>
      </w:r>
      <w:r w:rsidR="006C4251">
        <w:rPr>
          <w:rFonts w:cs="Arial"/>
        </w:rPr>
        <w:fldChar w:fldCharType="separate"/>
      </w:r>
      <w:r w:rsidR="006C4251">
        <w:rPr>
          <w:rFonts w:cs="Arial"/>
          <w:noProof/>
        </w:rPr>
        <w:t>«${(permitId)!}»</w:t>
      </w:r>
      <w:r w:rsidR="006C4251">
        <w:rPr>
          <w:rFonts w:cs="Arial"/>
        </w:rPr>
        <w:fldChar w:fldCharType="end"/>
      </w:r>
    </w:p>
    <w:p w14:paraId="62ED5BED" w14:textId="77777777" w:rsidR="004E4DFC" w:rsidRPr="00690954" w:rsidRDefault="004E4DFC" w:rsidP="004E4DFC">
      <w:pPr>
        <w:rPr>
          <w:rFonts w:cs="Arial"/>
        </w:rPr>
      </w:pPr>
    </w:p>
    <w:p w14:paraId="46EC8DD5" w14:textId="2FFA08B3" w:rsidR="004E4DFC" w:rsidRPr="004E4DFC" w:rsidRDefault="004E4DFC" w:rsidP="004E4DFC">
      <w:pPr>
        <w:rPr>
          <w:rStyle w:val="change"/>
          <w:rFonts w:cs="Arial"/>
          <w:color w:val="000000" w:themeColor="text1"/>
        </w:rPr>
      </w:pPr>
      <w:r w:rsidRPr="004E4DFC">
        <w:rPr>
          <w:rStyle w:val="change"/>
          <w:rFonts w:cs="Arial"/>
          <w:color w:val="000000" w:themeColor="text1"/>
        </w:rPr>
        <w:t xml:space="preserve">The </w:t>
      </w:r>
      <w:r w:rsidR="008042B1">
        <w:rPr>
          <w:rStyle w:val="change"/>
          <w:rFonts w:cs="Arial"/>
          <w:color w:val="000000" w:themeColor="text1"/>
        </w:rPr>
        <w:fldChar w:fldCharType="begin"/>
      </w:r>
      <w:r w:rsidR="008042B1">
        <w:rPr>
          <w:rStyle w:val="change"/>
          <w:rFonts w:cs="Arial"/>
          <w:color w:val="000000" w:themeColor="text1"/>
        </w:rPr>
        <w:instrText xml:space="preserve"> MERGEFIELD  ${competentAuthority.name}  \* MERGEFORMAT </w:instrText>
      </w:r>
      <w:r w:rsidR="008042B1">
        <w:rPr>
          <w:rStyle w:val="change"/>
          <w:rFonts w:cs="Arial"/>
          <w:color w:val="000000" w:themeColor="text1"/>
        </w:rPr>
        <w:fldChar w:fldCharType="separate"/>
      </w:r>
      <w:r w:rsidR="008042B1">
        <w:rPr>
          <w:rStyle w:val="change"/>
          <w:rFonts w:cs="Arial"/>
          <w:noProof/>
          <w:color w:val="000000" w:themeColor="text1"/>
        </w:rPr>
        <w:t>«${competentAuthority.name}»</w:t>
      </w:r>
      <w:r w:rsidR="008042B1">
        <w:rPr>
          <w:rStyle w:val="change"/>
          <w:rFonts w:cs="Arial"/>
          <w:color w:val="000000" w:themeColor="text1"/>
        </w:rPr>
        <w:fldChar w:fldCharType="end"/>
      </w:r>
      <w:r w:rsidRPr="004E4DFC">
        <w:rPr>
          <w:rStyle w:val="change"/>
          <w:rFonts w:cs="Arial"/>
          <w:color w:val="000000" w:themeColor="text1"/>
        </w:rPr>
        <w:t xml:space="preserve"> in exercise of its powers under Article 77 and Schedule 11 paragraph (1) (4) of the Order </w:t>
      </w:r>
      <w:r w:rsidRPr="004E4DFC">
        <w:rPr>
          <w:color w:val="000000" w:themeColor="text1"/>
        </w:rPr>
        <w:t>hereby converts the permit issued to you under the Greenhouse Gas Emission Trading Scheme Regulations 2005 or 2012 (the EUETS Regulations)</w:t>
      </w:r>
      <w:r w:rsidRPr="004E4DFC" w:rsidDel="00AC6135">
        <w:rPr>
          <w:color w:val="000000" w:themeColor="text1"/>
        </w:rPr>
        <w:t xml:space="preserve"> </w:t>
      </w:r>
    </w:p>
    <w:p w14:paraId="7C09EC15" w14:textId="4D401364" w:rsidR="004E4DFC" w:rsidRPr="004E4DFC" w:rsidRDefault="006C4251" w:rsidP="004E4DFC">
      <w:pPr>
        <w:rPr>
          <w:rFonts w:cs="Arial"/>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${(account.legalEntityName)!}  \* MERGEFORMAT </w:instrText>
      </w:r>
      <w:r>
        <w:rPr>
          <w:rStyle w:val="change"/>
          <w:rFonts w:cs="Arial"/>
          <w:color w:val="000000" w:themeColor="text1"/>
        </w:rPr>
        <w:fldChar w:fldCharType="separate"/>
      </w:r>
      <w:r>
        <w:rPr>
          <w:rStyle w:val="change"/>
          <w:rFonts w:cs="Arial"/>
          <w:noProof/>
          <w:color w:val="000000" w:themeColor="text1"/>
        </w:rPr>
        <w:t>«${(account.legalEntityName)!}»</w:t>
      </w:r>
      <w:r>
        <w:rPr>
          <w:rStyle w:val="change"/>
          <w:rFonts w:cs="Arial"/>
          <w:color w:val="000000" w:themeColor="text1"/>
        </w:rPr>
        <w:fldChar w:fldCharType="end"/>
      </w:r>
      <w:r w:rsidR="004E4DFC" w:rsidRPr="004E4DFC">
        <w:rPr>
          <w:rFonts w:cs="Arial"/>
          <w:color w:val="000000" w:themeColor="text1"/>
        </w:rPr>
        <w:t xml:space="preserve"> (the Operator),</w:t>
      </w:r>
    </w:p>
    <w:p w14:paraId="23B2DB51" w14:textId="77777777" w:rsidR="004E4DFC" w:rsidRPr="004E4DFC" w:rsidRDefault="004E4DFC" w:rsidP="004E4DFC">
      <w:pPr>
        <w:spacing w:before="120" w:beforeAutospacing="0" w:after="0" w:afterAutospacing="0"/>
        <w:rPr>
          <w:rFonts w:cs="Arial"/>
          <w:color w:val="000000" w:themeColor="text1"/>
        </w:rPr>
      </w:pPr>
      <w:r w:rsidRPr="004E4DFC">
        <w:rPr>
          <w:rFonts w:cs="Arial"/>
          <w:color w:val="000000" w:themeColor="text1"/>
        </w:rPr>
        <w:t>whose (Registered) office address is</w:t>
      </w:r>
    </w:p>
    <w:p w14:paraId="1F94654E" w14:textId="5592844B" w:rsidR="004E4DFC" w:rsidRPr="004E4DFC" w:rsidRDefault="006C4251" w:rsidP="004E4DFC">
      <w:pPr>
        <w:spacing w:before="120" w:beforeAutospacing="0" w:after="0" w:afterAutospacing="0"/>
        <w:jc w:val="left"/>
        <w:rPr>
          <w:rStyle w:val="change"/>
          <w:rFonts w:cs="Arial"/>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${(account.legalEntityLocation)!}  \* MERGEFORMAT </w:instrText>
      </w:r>
      <w:r>
        <w:rPr>
          <w:rStyle w:val="change"/>
          <w:rFonts w:cs="Arial"/>
          <w:color w:val="000000" w:themeColor="text1"/>
        </w:rPr>
        <w:fldChar w:fldCharType="separate"/>
      </w:r>
      <w:r>
        <w:rPr>
          <w:rStyle w:val="change"/>
          <w:rFonts w:cs="Arial"/>
          <w:noProof/>
          <w:color w:val="000000" w:themeColor="text1"/>
        </w:rPr>
        <w:t>«${(account.legalEntityLocation)!}»</w:t>
      </w:r>
      <w:r>
        <w:rPr>
          <w:rStyle w:val="change"/>
          <w:rFonts w:cs="Arial"/>
          <w:color w:val="000000" w:themeColor="text1"/>
        </w:rPr>
        <w:fldChar w:fldCharType="end"/>
      </w:r>
    </w:p>
    <w:p w14:paraId="1AFF21A1" w14:textId="77777777" w:rsidR="004E4DFC" w:rsidRPr="004E4DFC" w:rsidRDefault="004E4DFC" w:rsidP="004E4DFC">
      <w:pPr>
        <w:spacing w:before="120" w:beforeAutospacing="0" w:after="0" w:afterAutospacing="0"/>
        <w:rPr>
          <w:color w:val="000000" w:themeColor="text1"/>
        </w:rPr>
      </w:pPr>
      <w:r w:rsidRPr="004E4DFC">
        <w:rPr>
          <w:rFonts w:cs="Arial"/>
          <w:color w:val="000000" w:themeColor="text1"/>
        </w:rPr>
        <w:t>which relates to the operation of (part of) the Installation(s) at</w:t>
      </w:r>
    </w:p>
    <w:p w14:paraId="48B9CB1F" w14:textId="0BE8928F" w:rsidR="004E4DFC" w:rsidRPr="004E4DFC" w:rsidRDefault="006C4251" w:rsidP="004E4DFC">
      <w:pPr>
        <w:spacing w:before="120" w:beforeAutospacing="0" w:after="0" w:afterAutospacing="0"/>
        <w:rPr>
          <w:rStyle w:val="change"/>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${(account.siteName)!}  \* MERGEFORMAT </w:instrText>
      </w:r>
      <w:r>
        <w:rPr>
          <w:rStyle w:val="change"/>
          <w:rFonts w:cs="Arial"/>
          <w:color w:val="000000" w:themeColor="text1"/>
        </w:rPr>
        <w:fldChar w:fldCharType="separate"/>
      </w:r>
      <w:r>
        <w:rPr>
          <w:rStyle w:val="change"/>
          <w:rFonts w:cs="Arial"/>
          <w:noProof/>
          <w:color w:val="000000" w:themeColor="text1"/>
        </w:rPr>
        <w:t>«${(account.siteName)!}»</w:t>
      </w:r>
      <w:r>
        <w:rPr>
          <w:rStyle w:val="change"/>
          <w:rFonts w:cs="Arial"/>
          <w:color w:val="000000" w:themeColor="text1"/>
        </w:rPr>
        <w:fldChar w:fldCharType="end"/>
      </w:r>
    </w:p>
    <w:p w14:paraId="1AB22F7E" w14:textId="1773821F" w:rsidR="004E4DFC" w:rsidRPr="004E4DFC" w:rsidRDefault="006C4251" w:rsidP="004E4DFC">
      <w:pPr>
        <w:spacing w:before="120" w:beforeAutospacing="0" w:after="0" w:afterAutospacing="0"/>
        <w:rPr>
          <w:rStyle w:val="change"/>
          <w:rFonts w:cs="Arial"/>
          <w:color w:val="000000" w:themeColor="text1"/>
        </w:rPr>
      </w:pPr>
      <w:r>
        <w:rPr>
          <w:rStyle w:val="change"/>
          <w:rFonts w:cs="Arial"/>
          <w:color w:val="000000" w:themeColor="text1"/>
        </w:rPr>
        <w:fldChar w:fldCharType="begin"/>
      </w:r>
      <w:r>
        <w:rPr>
          <w:rStyle w:val="change"/>
          <w:rFonts w:cs="Arial"/>
          <w:color w:val="000000" w:themeColor="text1"/>
        </w:rPr>
        <w:instrText xml:space="preserve"> MERGEFIELD  ${(account.location)!}  \* MERGEFORMAT </w:instrText>
      </w:r>
      <w:r>
        <w:rPr>
          <w:rStyle w:val="change"/>
          <w:rFonts w:cs="Arial"/>
          <w:color w:val="000000" w:themeColor="text1"/>
        </w:rPr>
        <w:fldChar w:fldCharType="separate"/>
      </w:r>
      <w:r>
        <w:rPr>
          <w:rStyle w:val="change"/>
          <w:rFonts w:cs="Arial"/>
          <w:noProof/>
          <w:color w:val="000000" w:themeColor="text1"/>
        </w:rPr>
        <w:t>«${(account.location)!}»</w:t>
      </w:r>
      <w:r>
        <w:rPr>
          <w:rStyle w:val="change"/>
          <w:rFonts w:cs="Arial"/>
          <w:color w:val="000000" w:themeColor="text1"/>
        </w:rPr>
        <w:fldChar w:fldCharType="end"/>
      </w:r>
    </w:p>
    <w:p w14:paraId="40D4B656" w14:textId="77777777" w:rsidR="004E4DFC" w:rsidRDefault="004E4DFC" w:rsidP="004E4DFC">
      <w:pPr>
        <w:spacing w:before="120" w:beforeAutospacing="0" w:after="0" w:afterAutospacing="0"/>
        <w:rPr>
          <w:rStyle w:val="change"/>
          <w:rFonts w:cs="Arial"/>
        </w:rPr>
      </w:pPr>
    </w:p>
    <w:p w14:paraId="3B63D89C" w14:textId="77777777" w:rsidR="004E4DFC" w:rsidRDefault="004E4DFC" w:rsidP="004E4DFC">
      <w:pPr>
        <w:spacing w:before="120" w:beforeAutospacing="0" w:after="0" w:afterAutospacing="0"/>
        <w:rPr>
          <w:rFonts w:cs="Arial"/>
        </w:rPr>
      </w:pPr>
      <w:r w:rsidRPr="00AC6135">
        <w:rPr>
          <w:rFonts w:cs="Arial"/>
        </w:rPr>
        <w:t xml:space="preserve">into a greenhouse gas emissions permit </w:t>
      </w:r>
      <w:r>
        <w:rPr>
          <w:rFonts w:cs="Arial"/>
        </w:rPr>
        <w:t xml:space="preserve">which satisfies the requirements of </w:t>
      </w:r>
      <w:r w:rsidRPr="00AC6135">
        <w:rPr>
          <w:rFonts w:cs="Arial"/>
        </w:rPr>
        <w:t xml:space="preserve">the Order.  </w:t>
      </w:r>
    </w:p>
    <w:p w14:paraId="78E79244" w14:textId="66E32FBD" w:rsidR="008042B1" w:rsidRPr="008042B1" w:rsidRDefault="004E4DFC" w:rsidP="004E4DFC">
      <w:pPr>
        <w:spacing w:before="120" w:beforeAutospacing="0" w:after="0" w:afterAutospacing="0"/>
        <w:rPr>
          <w:rStyle w:val="change"/>
          <w:rFonts w:cs="Arial"/>
          <w:color w:val="auto"/>
        </w:rPr>
      </w:pPr>
      <w:r>
        <w:rPr>
          <w:rFonts w:cs="Arial"/>
        </w:rPr>
        <w:t>The converted permit is attached to this Notice and comes into effect on 1 January 2021</w:t>
      </w:r>
    </w:p>
    <w:p w14:paraId="56916AF8" w14:textId="77777777" w:rsidR="004E4DFC" w:rsidRDefault="004E4DFC" w:rsidP="004E4DFC">
      <w:pPr>
        <w:pStyle w:val="Heading3nonum"/>
        <w:keepLines w:val="0"/>
        <w:spacing w:before="100" w:line="240" w:lineRule="auto"/>
        <w:outlineLvl w:val="9"/>
        <w:rPr>
          <w:rFonts w:cs="Arial"/>
        </w:rPr>
      </w:pPr>
    </w:p>
    <w:p w14:paraId="23C19452" w14:textId="77777777" w:rsidR="004E4DFC" w:rsidRPr="00690954" w:rsidRDefault="004E4DFC" w:rsidP="004E4DFC">
      <w:pPr>
        <w:pStyle w:val="Heading3nonum"/>
        <w:keepLines w:val="0"/>
        <w:spacing w:before="100" w:line="240" w:lineRule="auto"/>
        <w:outlineLvl w:val="9"/>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9"/>
        <w:gridCol w:w="6174"/>
      </w:tblGrid>
      <w:tr w:rsidR="004E4DFC" w:rsidRPr="00690954" w14:paraId="32E60179" w14:textId="77777777" w:rsidTr="00AA0929">
        <w:tblPrEx>
          <w:tblCellMar>
            <w:top w:w="0" w:type="dxa"/>
            <w:bottom w:w="0" w:type="dxa"/>
          </w:tblCellMar>
        </w:tblPrEx>
        <w:trPr>
          <w:trHeight w:hRule="exact" w:val="404"/>
        </w:trPr>
        <w:tc>
          <w:tcPr>
            <w:tcW w:w="0" w:type="auto"/>
            <w:tcBorders>
              <w:top w:val="nil"/>
              <w:left w:val="nil"/>
              <w:right w:val="nil"/>
            </w:tcBorders>
          </w:tcPr>
          <w:p w14:paraId="5463E621" w14:textId="77777777" w:rsidR="004E4DFC" w:rsidRPr="00690954" w:rsidRDefault="004E4DFC" w:rsidP="00AA0929">
            <w:r w:rsidRPr="00690954">
              <w:t>Signed</w:t>
            </w:r>
          </w:p>
        </w:tc>
        <w:tc>
          <w:tcPr>
            <w:tcW w:w="0" w:type="auto"/>
            <w:tcBorders>
              <w:top w:val="nil"/>
              <w:left w:val="nil"/>
              <w:right w:val="nil"/>
            </w:tcBorders>
          </w:tcPr>
          <w:p w14:paraId="17805FC0" w14:textId="77777777" w:rsidR="004E4DFC" w:rsidRPr="00690954" w:rsidRDefault="004E4DFC" w:rsidP="00AA0929">
            <w:r w:rsidRPr="00690954">
              <w:t>Date</w:t>
            </w:r>
          </w:p>
        </w:tc>
      </w:tr>
      <w:tr w:rsidR="004E4DFC" w:rsidRPr="00690954" w14:paraId="046466EE" w14:textId="77777777" w:rsidTr="00AA0929">
        <w:tblPrEx>
          <w:tblCellMar>
            <w:top w:w="0" w:type="dxa"/>
            <w:bottom w:w="0" w:type="dxa"/>
          </w:tblCellMar>
        </w:tblPrEx>
        <w:tc>
          <w:tcPr>
            <w:tcW w:w="0" w:type="auto"/>
          </w:tcPr>
          <w:p w14:paraId="3CD345B1" w14:textId="77C86AF9" w:rsidR="004E4DFC" w:rsidRPr="00690954" w:rsidRDefault="004E4DFC" w:rsidP="00AA0929">
            <w:bookmarkStart w:id="3" w:name="signature2"/>
            <w:r>
              <w:rPr>
                <w:noProof/>
              </w:rPr>
              <w:lastRenderedPageBreak/>
              <w:drawing>
                <wp:inline distT="0" distB="0" distL="0" distR="0" wp14:anchorId="43B5180A" wp14:editId="30ACFF3C">
                  <wp:extent cx="1438910" cy="1542415"/>
                  <wp:effectExtent l="0" t="0" r="8890" b="635"/>
                  <wp:docPr id="1295492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3"/>
          </w:p>
        </w:tc>
        <w:tc>
          <w:tcPr>
            <w:tcW w:w="0" w:type="auto"/>
          </w:tcPr>
          <w:p w14:paraId="10255CC3" w14:textId="77BCC84F" w:rsidR="004E4DFC" w:rsidRPr="002E360A" w:rsidRDefault="002E360A" w:rsidP="00AA0929">
            <w:pPr>
              <w:rPr>
                <w:lang w:val="el-GR"/>
              </w:rPr>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1ACD73E2" w14:textId="6BBC9752" w:rsidR="004E4DFC" w:rsidRPr="00690954" w:rsidRDefault="008042B1" w:rsidP="004E4DFC">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56E35A26" w14:textId="575C2A4D" w:rsidR="004E4DFC" w:rsidRPr="00690954" w:rsidRDefault="004E4DFC" w:rsidP="004E4DFC">
      <w:pPr>
        <w:pStyle w:val="Heading3nonum"/>
        <w:keepLines w:val="0"/>
        <w:spacing w:before="100" w:line="240" w:lineRule="auto"/>
        <w:outlineLvl w:val="9"/>
        <w:rPr>
          <w:rFonts w:cs="Arial"/>
          <w:snapToGrid w:val="0"/>
        </w:rPr>
      </w:pPr>
      <w:r w:rsidRPr="00690954">
        <w:rPr>
          <w:rFonts w:cs="Arial"/>
        </w:rPr>
        <w:t xml:space="preserve">Authorised to sign on behalf of the </w:t>
      </w:r>
      <w:r w:rsidR="008042B1">
        <w:rPr>
          <w:rFonts w:cs="Arial"/>
          <w:snapToGrid w:val="0"/>
        </w:rPr>
        <w:fldChar w:fldCharType="begin"/>
      </w:r>
      <w:r w:rsidR="008042B1">
        <w:rPr>
          <w:rFonts w:cs="Arial"/>
          <w:snapToGrid w:val="0"/>
        </w:rPr>
        <w:instrText xml:space="preserve"> MERGEFIELD  ${competentAuthority.name}  \* MERGEFORMAT </w:instrText>
      </w:r>
      <w:r w:rsidR="008042B1">
        <w:rPr>
          <w:rFonts w:cs="Arial"/>
          <w:snapToGrid w:val="0"/>
        </w:rPr>
        <w:fldChar w:fldCharType="separate"/>
      </w:r>
      <w:r w:rsidR="008042B1">
        <w:rPr>
          <w:rFonts w:cs="Arial"/>
          <w:noProof/>
          <w:snapToGrid w:val="0"/>
        </w:rPr>
        <w:t>«${competentAuthority.name}»</w:t>
      </w:r>
      <w:r w:rsidR="008042B1">
        <w:rPr>
          <w:rFonts w:cs="Arial"/>
          <w:snapToGrid w:val="0"/>
        </w:rPr>
        <w:fldChar w:fldCharType="end"/>
      </w:r>
    </w:p>
    <w:p w14:paraId="6B0654B8" w14:textId="77777777" w:rsidR="004E4DFC" w:rsidRPr="00E111C2" w:rsidRDefault="004E4DFC" w:rsidP="004E4DFC">
      <w:pPr>
        <w:pStyle w:val="Heading3nonum"/>
        <w:keepLines w:val="0"/>
        <w:spacing w:before="100" w:line="240" w:lineRule="auto"/>
        <w:outlineLvl w:val="9"/>
        <w:rPr>
          <w:rFonts w:cs="Arial"/>
          <w:b/>
          <w:sz w:val="22"/>
          <w:szCs w:val="22"/>
        </w:rPr>
      </w:pPr>
      <w:r w:rsidRPr="00690954">
        <w:rPr>
          <w:rFonts w:cs="Arial"/>
          <w:snapToGrid w:val="0"/>
        </w:rPr>
        <w:br w:type="page"/>
      </w:r>
      <w:r w:rsidRPr="00E111C2">
        <w:rPr>
          <w:rFonts w:cs="Arial"/>
          <w:b/>
          <w:sz w:val="22"/>
          <w:szCs w:val="22"/>
        </w:rPr>
        <w:lastRenderedPageBreak/>
        <w:t>Your right to appeal</w:t>
      </w:r>
    </w:p>
    <w:p w14:paraId="6CED0CC7" w14:textId="77777777" w:rsidR="004E4DFC" w:rsidRPr="00E111C2" w:rsidRDefault="004E4DFC" w:rsidP="004E4DFC">
      <w:pPr>
        <w:rPr>
          <w:rFonts w:cs="Arial"/>
          <w:sz w:val="22"/>
          <w:szCs w:val="22"/>
        </w:rPr>
      </w:pPr>
      <w:r w:rsidRPr="00E111C2">
        <w:rPr>
          <w:rFonts w:cs="Arial"/>
          <w:sz w:val="22"/>
          <w:szCs w:val="22"/>
        </w:rPr>
        <w:t>You can appeal against this Notice to the Scottish Land Court within 28 days beginning with the effective date of this Notice on the grounds that:</w:t>
      </w:r>
    </w:p>
    <w:p w14:paraId="5D102AE6" w14:textId="77777777" w:rsidR="004E4DFC" w:rsidRPr="00E111C2" w:rsidRDefault="004E4DFC" w:rsidP="004E4DFC">
      <w:pPr>
        <w:pStyle w:val="NormalWeb"/>
        <w:rPr>
          <w:rFonts w:ascii="Arial" w:hAnsi="Arial" w:cs="Arial"/>
        </w:rPr>
      </w:pPr>
    </w:p>
    <w:p w14:paraId="504A9617" w14:textId="77777777" w:rsidR="004E4DFC" w:rsidRPr="00E111C2" w:rsidRDefault="004E4DFC" w:rsidP="004E4DFC">
      <w:pPr>
        <w:numPr>
          <w:ilvl w:val="0"/>
          <w:numId w:val="1"/>
        </w:numPr>
        <w:rPr>
          <w:rFonts w:cs="Arial"/>
          <w:color w:val="000000"/>
          <w:sz w:val="22"/>
          <w:szCs w:val="22"/>
        </w:rPr>
      </w:pPr>
      <w:r w:rsidRPr="00E111C2">
        <w:rPr>
          <w:rFonts w:cs="Arial"/>
          <w:color w:val="000000"/>
          <w:sz w:val="22"/>
          <w:szCs w:val="22"/>
        </w:rPr>
        <w:t xml:space="preserve">The </w:t>
      </w:r>
      <w:r w:rsidRPr="00E111C2">
        <w:rPr>
          <w:rStyle w:val="Strong"/>
          <w:rFonts w:cs="Arial"/>
          <w:b w:val="0"/>
          <w:bCs w:val="0"/>
          <w:color w:val="000000"/>
          <w:sz w:val="22"/>
          <w:szCs w:val="22"/>
        </w:rPr>
        <w:t>Notice</w:t>
      </w:r>
      <w:r w:rsidRPr="00E111C2">
        <w:rPr>
          <w:rStyle w:val="Strong"/>
          <w:rFonts w:cs="Arial"/>
          <w:color w:val="000000"/>
          <w:sz w:val="22"/>
          <w:szCs w:val="22"/>
        </w:rPr>
        <w:t xml:space="preserve"> </w:t>
      </w:r>
      <w:r w:rsidRPr="00E111C2">
        <w:rPr>
          <w:rFonts w:cs="Arial"/>
          <w:color w:val="000000"/>
          <w:sz w:val="22"/>
          <w:szCs w:val="22"/>
        </w:rPr>
        <w:t>is based on an error of fact</w:t>
      </w:r>
    </w:p>
    <w:p w14:paraId="586CD6B5" w14:textId="77777777" w:rsidR="004E4DFC" w:rsidRPr="00E111C2" w:rsidRDefault="004E4DFC" w:rsidP="004E4DFC">
      <w:pPr>
        <w:numPr>
          <w:ilvl w:val="0"/>
          <w:numId w:val="1"/>
        </w:numPr>
        <w:rPr>
          <w:rFonts w:cs="Arial"/>
          <w:color w:val="000000"/>
          <w:sz w:val="22"/>
          <w:szCs w:val="22"/>
        </w:rPr>
      </w:pPr>
      <w:r w:rsidRPr="00E111C2">
        <w:rPr>
          <w:rFonts w:cs="Arial"/>
          <w:color w:val="000000"/>
          <w:sz w:val="22"/>
          <w:szCs w:val="22"/>
        </w:rPr>
        <w:t xml:space="preserve">The </w:t>
      </w:r>
      <w:r w:rsidRPr="00E111C2">
        <w:rPr>
          <w:rStyle w:val="Strong"/>
          <w:rFonts w:cs="Arial"/>
          <w:b w:val="0"/>
          <w:bCs w:val="0"/>
          <w:color w:val="000000"/>
          <w:sz w:val="22"/>
          <w:szCs w:val="22"/>
        </w:rPr>
        <w:t>Notice</w:t>
      </w:r>
      <w:r w:rsidRPr="00E111C2">
        <w:rPr>
          <w:rStyle w:val="Strong"/>
          <w:rFonts w:cs="Arial"/>
          <w:color w:val="000000"/>
          <w:sz w:val="22"/>
          <w:szCs w:val="22"/>
        </w:rPr>
        <w:t xml:space="preserve"> </w:t>
      </w:r>
      <w:r w:rsidRPr="00E111C2">
        <w:rPr>
          <w:rFonts w:cs="Arial"/>
          <w:color w:val="000000"/>
          <w:sz w:val="22"/>
          <w:szCs w:val="22"/>
        </w:rPr>
        <w:t>is wrong in law</w:t>
      </w:r>
    </w:p>
    <w:p w14:paraId="6275BC3D" w14:textId="77777777" w:rsidR="004E4DFC" w:rsidRPr="00E111C2" w:rsidRDefault="004E4DFC" w:rsidP="004E4DFC">
      <w:pPr>
        <w:numPr>
          <w:ilvl w:val="0"/>
          <w:numId w:val="1"/>
        </w:numPr>
        <w:rPr>
          <w:rFonts w:cs="Arial"/>
          <w:color w:val="000000"/>
          <w:sz w:val="22"/>
          <w:szCs w:val="22"/>
        </w:rPr>
      </w:pPr>
      <w:r w:rsidRPr="00E111C2">
        <w:rPr>
          <w:rFonts w:cs="Arial"/>
          <w:color w:val="000000"/>
          <w:sz w:val="22"/>
          <w:szCs w:val="22"/>
        </w:rPr>
        <w:t xml:space="preserve">The </w:t>
      </w:r>
      <w:r w:rsidRPr="00E111C2">
        <w:rPr>
          <w:rStyle w:val="Strong"/>
          <w:rFonts w:cs="Arial"/>
          <w:b w:val="0"/>
          <w:bCs w:val="0"/>
          <w:color w:val="000000"/>
          <w:sz w:val="22"/>
          <w:szCs w:val="22"/>
        </w:rPr>
        <w:t>Notice</w:t>
      </w:r>
      <w:r w:rsidRPr="00E111C2">
        <w:rPr>
          <w:rStyle w:val="Strong"/>
          <w:rFonts w:cs="Arial"/>
          <w:color w:val="000000"/>
          <w:sz w:val="22"/>
          <w:szCs w:val="22"/>
        </w:rPr>
        <w:t xml:space="preserve"> </w:t>
      </w:r>
      <w:r w:rsidRPr="00E111C2">
        <w:rPr>
          <w:rFonts w:cs="Arial"/>
          <w:color w:val="000000"/>
          <w:sz w:val="22"/>
          <w:szCs w:val="22"/>
        </w:rPr>
        <w:t xml:space="preserve">is unreasonable </w:t>
      </w:r>
    </w:p>
    <w:p w14:paraId="59C34BDF" w14:textId="77777777" w:rsidR="004E4DFC" w:rsidRPr="00E111C2" w:rsidRDefault="004E4DFC" w:rsidP="004E4DFC">
      <w:pPr>
        <w:numPr>
          <w:ilvl w:val="0"/>
          <w:numId w:val="1"/>
        </w:numPr>
        <w:spacing w:after="200" w:afterAutospacing="0"/>
        <w:contextualSpacing/>
        <w:rPr>
          <w:rFonts w:cs="Arial"/>
          <w:color w:val="000000"/>
          <w:sz w:val="22"/>
          <w:szCs w:val="22"/>
        </w:rPr>
      </w:pPr>
      <w:r w:rsidRPr="00E111C2">
        <w:rPr>
          <w:rFonts w:cs="Arial"/>
          <w:color w:val="000000"/>
          <w:sz w:val="22"/>
          <w:szCs w:val="22"/>
        </w:rPr>
        <w:t>any other reason</w:t>
      </w:r>
      <w:r>
        <w:rPr>
          <w:rFonts w:cs="Arial"/>
          <w:color w:val="000000"/>
          <w:sz w:val="22"/>
          <w:szCs w:val="22"/>
        </w:rPr>
        <w:t>.</w:t>
      </w:r>
      <w:r w:rsidRPr="00E111C2">
        <w:rPr>
          <w:rFonts w:cs="Arial"/>
          <w:color w:val="000000"/>
          <w:sz w:val="22"/>
          <w:szCs w:val="22"/>
        </w:rPr>
        <w:t> </w:t>
      </w:r>
    </w:p>
    <w:p w14:paraId="34429071" w14:textId="77777777" w:rsidR="004E4DFC" w:rsidRPr="00E111C2" w:rsidRDefault="004E4DFC" w:rsidP="004E4DFC">
      <w:pPr>
        <w:pStyle w:val="NormalWeb"/>
        <w:rPr>
          <w:rFonts w:ascii="Arial" w:hAnsi="Arial" w:cs="Arial"/>
        </w:rPr>
      </w:pPr>
      <w:r w:rsidRPr="00E111C2">
        <w:rPr>
          <w:rFonts w:ascii="Arial" w:hAnsi="Arial" w:cs="Arial"/>
        </w:rPr>
        <w:t> </w:t>
      </w:r>
    </w:p>
    <w:p w14:paraId="78ABFE23" w14:textId="77777777" w:rsidR="004E4DFC" w:rsidRDefault="004E4DFC" w:rsidP="004E4DFC">
      <w:pPr>
        <w:pStyle w:val="NormalWeb"/>
        <w:jc w:val="both"/>
        <w:rPr>
          <w:rFonts w:ascii="Arial" w:hAnsi="Arial" w:cs="Arial"/>
        </w:rPr>
      </w:pPr>
      <w:r w:rsidRPr="00E111C2">
        <w:rPr>
          <w:rFonts w:ascii="Arial" w:hAnsi="Arial" w:cs="Arial"/>
        </w:rPr>
        <w:t>Your Appeal should be submitted using the appropriate application form obtained by contacting the Court or from the court website</w:t>
      </w:r>
      <w:r>
        <w:rPr>
          <w:rFonts w:ascii="Arial" w:hAnsi="Arial" w:cs="Arial"/>
        </w:rPr>
        <w:t xml:space="preserve"> </w:t>
      </w:r>
      <w:r w:rsidRPr="00E111C2">
        <w:rPr>
          <w:rFonts w:ascii="Arial" w:hAnsi="Arial" w:cs="Arial"/>
        </w:rPr>
        <w:t xml:space="preserve">and including the supporting documents referred to in paragraph 2 of Schedule 9 of the Order. </w:t>
      </w:r>
    </w:p>
    <w:p w14:paraId="794182AB" w14:textId="77777777" w:rsidR="004E4DFC" w:rsidRPr="00E111C2" w:rsidRDefault="004E4DFC" w:rsidP="004E4DFC">
      <w:pPr>
        <w:pStyle w:val="NormalWeb"/>
        <w:jc w:val="both"/>
        <w:rPr>
          <w:rFonts w:ascii="Arial" w:hAnsi="Arial" w:cs="Arial"/>
        </w:rPr>
      </w:pPr>
    </w:p>
    <w:p w14:paraId="613EC0FF" w14:textId="77777777" w:rsidR="004E4DFC" w:rsidRPr="00E111C2" w:rsidRDefault="004E4DFC" w:rsidP="004E4DFC">
      <w:pPr>
        <w:pStyle w:val="NormalWeb"/>
        <w:rPr>
          <w:rFonts w:ascii="Arial" w:hAnsi="Arial" w:cs="Arial"/>
        </w:rPr>
      </w:pPr>
      <w:r w:rsidRPr="00E111C2">
        <w:rPr>
          <w:rFonts w:ascii="Arial" w:hAnsi="Arial" w:cs="Arial"/>
        </w:rPr>
        <w:t xml:space="preserve">The Scottish Land Court, </w:t>
      </w:r>
    </w:p>
    <w:p w14:paraId="3F7EDF9D" w14:textId="77777777" w:rsidR="004E4DFC" w:rsidRPr="00E111C2" w:rsidRDefault="004E4DFC" w:rsidP="004E4DFC">
      <w:pPr>
        <w:pStyle w:val="NormalWeb"/>
        <w:jc w:val="both"/>
        <w:rPr>
          <w:rFonts w:ascii="Arial" w:hAnsi="Arial" w:cs="Arial"/>
        </w:rPr>
      </w:pPr>
      <w:r w:rsidRPr="00E111C2">
        <w:rPr>
          <w:rFonts w:ascii="Arial" w:hAnsi="Arial" w:cs="Arial"/>
        </w:rPr>
        <w:t xml:space="preserve">George House, </w:t>
      </w:r>
    </w:p>
    <w:p w14:paraId="01554FDF" w14:textId="77777777" w:rsidR="004E4DFC" w:rsidRPr="00E111C2" w:rsidRDefault="004E4DFC" w:rsidP="004E4DFC">
      <w:pPr>
        <w:pStyle w:val="NormalWeb"/>
        <w:jc w:val="both"/>
        <w:rPr>
          <w:rFonts w:ascii="Arial" w:hAnsi="Arial" w:cs="Arial"/>
        </w:rPr>
      </w:pPr>
      <w:r w:rsidRPr="00E111C2">
        <w:rPr>
          <w:rFonts w:ascii="Arial" w:hAnsi="Arial" w:cs="Arial"/>
        </w:rPr>
        <w:t xml:space="preserve">126 George Street, </w:t>
      </w:r>
    </w:p>
    <w:p w14:paraId="40E5DC94" w14:textId="77777777" w:rsidR="004E4DFC" w:rsidRPr="00E111C2" w:rsidRDefault="004E4DFC" w:rsidP="004E4DFC">
      <w:pPr>
        <w:pStyle w:val="NormalWeb"/>
        <w:jc w:val="both"/>
        <w:rPr>
          <w:rFonts w:ascii="Arial" w:hAnsi="Arial" w:cs="Arial"/>
        </w:rPr>
      </w:pPr>
      <w:r w:rsidRPr="00E111C2">
        <w:rPr>
          <w:rFonts w:ascii="Arial" w:hAnsi="Arial" w:cs="Arial"/>
        </w:rPr>
        <w:t xml:space="preserve">Edinburgh, </w:t>
      </w:r>
    </w:p>
    <w:p w14:paraId="4D4BE6F1" w14:textId="77777777" w:rsidR="004E4DFC" w:rsidRPr="00E111C2" w:rsidRDefault="004E4DFC" w:rsidP="004E4DFC">
      <w:pPr>
        <w:pStyle w:val="NormalWeb"/>
        <w:jc w:val="both"/>
        <w:rPr>
          <w:rStyle w:val="Strong"/>
          <w:rFonts w:ascii="Arial" w:hAnsi="Arial" w:cs="Arial"/>
        </w:rPr>
      </w:pPr>
      <w:r w:rsidRPr="00E111C2">
        <w:rPr>
          <w:rFonts w:ascii="Arial" w:hAnsi="Arial" w:cs="Arial"/>
        </w:rPr>
        <w:t xml:space="preserve">EH2 4HH </w:t>
      </w:r>
      <w:r w:rsidRPr="00E111C2">
        <w:rPr>
          <w:rStyle w:val="Strong"/>
          <w:rFonts w:ascii="Arial" w:hAnsi="Arial" w:cs="Arial"/>
        </w:rPr>
        <w:t> </w:t>
      </w:r>
    </w:p>
    <w:p w14:paraId="73E7944C" w14:textId="77777777" w:rsidR="004E4DFC" w:rsidRPr="00E111C2" w:rsidRDefault="004E4DFC" w:rsidP="004E4DFC">
      <w:pPr>
        <w:pStyle w:val="NormalWeb"/>
        <w:jc w:val="both"/>
        <w:rPr>
          <w:rStyle w:val="Strong"/>
          <w:rFonts w:ascii="Arial" w:hAnsi="Arial" w:cs="Arial"/>
        </w:rPr>
      </w:pPr>
    </w:p>
    <w:p w14:paraId="16312544" w14:textId="77777777" w:rsidR="004E4DFC" w:rsidRPr="00E111C2" w:rsidRDefault="004E4DFC" w:rsidP="004E4DFC">
      <w:pPr>
        <w:pStyle w:val="NormalWeb"/>
        <w:jc w:val="both"/>
        <w:rPr>
          <w:rFonts w:ascii="Arial" w:hAnsi="Arial" w:cs="Arial"/>
        </w:rPr>
      </w:pPr>
      <w:r w:rsidRPr="00E111C2">
        <w:rPr>
          <w:rStyle w:val="Strong"/>
          <w:rFonts w:ascii="Arial" w:hAnsi="Arial" w:cs="Arial"/>
        </w:rPr>
        <w:t>Email:  </w:t>
      </w:r>
      <w:hyperlink r:id="rId8" w:tgtFrame="_blank" w:history="1">
        <w:r w:rsidRPr="00E111C2">
          <w:rPr>
            <w:rStyle w:val="Strong"/>
            <w:rFonts w:ascii="Arial" w:hAnsi="Arial" w:cs="Arial"/>
            <w:color w:val="0000FF"/>
            <w:u w:val="single"/>
          </w:rPr>
          <w:t>SLCourtMailbox@scotcourtstribunals.gov.uk</w:t>
        </w:r>
      </w:hyperlink>
      <w:r w:rsidRPr="00E111C2">
        <w:rPr>
          <w:rFonts w:ascii="Arial" w:hAnsi="Arial" w:cs="Arial"/>
        </w:rPr>
        <w:t xml:space="preserve"> </w:t>
      </w:r>
    </w:p>
    <w:p w14:paraId="766F6CB4" w14:textId="77777777" w:rsidR="004E4DFC" w:rsidRPr="00E111C2" w:rsidRDefault="004E4DFC" w:rsidP="004E4DFC">
      <w:pPr>
        <w:pStyle w:val="NormalWeb"/>
        <w:jc w:val="both"/>
        <w:rPr>
          <w:rFonts w:ascii="Arial" w:hAnsi="Arial" w:cs="Arial"/>
        </w:rPr>
      </w:pPr>
      <w:r w:rsidRPr="00E111C2">
        <w:rPr>
          <w:rFonts w:ascii="Arial" w:hAnsi="Arial" w:cs="Arial"/>
          <w:b/>
          <w:bCs/>
        </w:rPr>
        <w:t>Telephone</w:t>
      </w:r>
      <w:r w:rsidRPr="00E111C2">
        <w:rPr>
          <w:rFonts w:ascii="Arial" w:hAnsi="Arial" w:cs="Arial"/>
        </w:rPr>
        <w:t>: 0131 271 4360</w:t>
      </w:r>
    </w:p>
    <w:p w14:paraId="2BAA2EC7" w14:textId="77777777" w:rsidR="004E4DFC" w:rsidRPr="00E111C2" w:rsidRDefault="004E4DFC" w:rsidP="004E4DFC">
      <w:pPr>
        <w:pStyle w:val="NormalWeb"/>
        <w:jc w:val="both"/>
        <w:rPr>
          <w:rFonts w:ascii="Arial" w:hAnsi="Arial" w:cs="Arial"/>
        </w:rPr>
      </w:pPr>
      <w:r w:rsidRPr="00E111C2">
        <w:rPr>
          <w:rFonts w:ascii="Arial" w:hAnsi="Arial" w:cs="Arial"/>
          <w:b/>
          <w:bCs/>
        </w:rPr>
        <w:t>Website</w:t>
      </w:r>
      <w:r w:rsidRPr="00E111C2">
        <w:rPr>
          <w:rFonts w:ascii="Arial" w:hAnsi="Arial" w:cs="Arial"/>
        </w:rPr>
        <w:t xml:space="preserve">: </w:t>
      </w:r>
      <w:hyperlink r:id="rId9" w:history="1">
        <w:r w:rsidRPr="00E111C2">
          <w:rPr>
            <w:rStyle w:val="Hyperlink"/>
            <w:rFonts w:ascii="Arial" w:hAnsi="Arial" w:cs="Arial"/>
          </w:rPr>
          <w:t>http://www.scottish-land-court.org.uk/using/making-an-application</w:t>
        </w:r>
      </w:hyperlink>
      <w:r w:rsidRPr="00E111C2">
        <w:rPr>
          <w:rFonts w:ascii="Arial" w:hAnsi="Arial" w:cs="Arial"/>
        </w:rPr>
        <w:t xml:space="preserve"> </w:t>
      </w:r>
    </w:p>
    <w:p w14:paraId="3AD145A9" w14:textId="77777777" w:rsidR="004E4DFC" w:rsidRPr="00E111C2" w:rsidRDefault="004E4DFC" w:rsidP="004E4DFC">
      <w:pPr>
        <w:pStyle w:val="NormalWeb"/>
        <w:jc w:val="both"/>
        <w:rPr>
          <w:rFonts w:ascii="Arial" w:hAnsi="Arial" w:cs="Arial"/>
        </w:rPr>
      </w:pPr>
    </w:p>
    <w:p w14:paraId="096A352C" w14:textId="77777777" w:rsidR="004E4DFC" w:rsidRPr="00E111C2" w:rsidRDefault="004E4DFC" w:rsidP="004E4DFC">
      <w:pPr>
        <w:pStyle w:val="NormalWeb"/>
        <w:jc w:val="both"/>
        <w:rPr>
          <w:rFonts w:ascii="Arial" w:hAnsi="Arial" w:cs="Arial"/>
        </w:rPr>
      </w:pPr>
      <w:r w:rsidRPr="00E111C2">
        <w:rPr>
          <w:rFonts w:ascii="Arial" w:hAnsi="Arial" w:cs="Arial"/>
        </w:rPr>
        <w:t xml:space="preserve">A copy of your appeal documentation should be sent to SEPA at </w:t>
      </w:r>
      <w:hyperlink r:id="rId10" w:history="1">
        <w:r w:rsidRPr="00E111C2">
          <w:rPr>
            <w:rStyle w:val="Hyperlink"/>
            <w:rFonts w:ascii="Arial" w:hAnsi="Arial" w:cs="Arial"/>
          </w:rPr>
          <w:t>emission.trading@sepa.org.uk</w:t>
        </w:r>
      </w:hyperlink>
      <w:r w:rsidRPr="00E111C2">
        <w:rPr>
          <w:rFonts w:ascii="Arial" w:hAnsi="Arial" w:cs="Arial"/>
        </w:rPr>
        <w:t xml:space="preserve"> </w:t>
      </w:r>
    </w:p>
    <w:p w14:paraId="4A86851E" w14:textId="77777777" w:rsidR="004E4DFC" w:rsidRPr="00842907" w:rsidRDefault="004E4DFC" w:rsidP="004E4DFC"/>
    <w:p w14:paraId="0039A55B" w14:textId="77777777" w:rsidR="001F1B3A" w:rsidRDefault="001F1B3A"/>
    <w:sectPr w:rsidR="001F1B3A" w:rsidSect="006847E6">
      <w:footerReference w:type="even" r:id="rId11"/>
      <w:footerReference w:type="default" r:id="rId12"/>
      <w:pgSz w:w="11907" w:h="16840" w:code="9"/>
      <w:pgMar w:top="1440" w:right="1077" w:bottom="1258" w:left="1077" w:header="289" w:footer="289"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A937" w14:textId="77777777" w:rsidR="008B4B1C" w:rsidRDefault="00000000"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7608" w14:textId="77777777" w:rsidR="008B4B1C" w:rsidRDefault="00000000" w:rsidP="00274A4C">
    <w:pPr>
      <w:pStyle w:val="Footer"/>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33573"/>
    <w:multiLevelType w:val="multilevel"/>
    <w:tmpl w:val="5FDCF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81163330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75"/>
    <w:rsid w:val="001F1B3A"/>
    <w:rsid w:val="002E360A"/>
    <w:rsid w:val="004E4DFC"/>
    <w:rsid w:val="006C4251"/>
    <w:rsid w:val="008042B1"/>
    <w:rsid w:val="00883275"/>
    <w:rsid w:val="009B213C"/>
    <w:rsid w:val="00F05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18CB"/>
  <w15:chartTrackingRefBased/>
  <w15:docId w15:val="{BC394378-F0A5-4424-BFF2-FD2275C0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DFC"/>
    <w:pPr>
      <w:spacing w:before="100" w:beforeAutospacing="1" w:after="100" w:afterAutospacing="1" w:line="240" w:lineRule="auto"/>
      <w:jc w:val="both"/>
    </w:pPr>
    <w:rPr>
      <w:rFonts w:ascii="Arial" w:eastAsia="Times New Roman" w:hAnsi="Arial" w:cs="Times New Roman"/>
      <w:kern w:val="0"/>
      <w:sz w:val="20"/>
      <w:szCs w:val="20"/>
      <w:lang w:val="en-GB" w:eastAsia="en-GB"/>
      <w14:ligatures w14:val="none"/>
    </w:rPr>
  </w:style>
  <w:style w:type="paragraph" w:styleId="Heading1">
    <w:name w:val="heading 1"/>
    <w:basedOn w:val="Normal"/>
    <w:next w:val="Normal"/>
    <w:link w:val="Heading1Char"/>
    <w:qFormat/>
    <w:rsid w:val="004E4DFC"/>
    <w:pPr>
      <w:keepLines/>
      <w:spacing w:before="240" w:beforeAutospacing="0" w:after="120" w:afterAutospacing="0"/>
      <w:jc w:val="left"/>
      <w:outlineLvl w:val="0"/>
    </w:pPr>
    <w:rPr>
      <w:spacing w:val="-4"/>
      <w:sz w:val="48"/>
      <w:lang w:eastAsia="en-US"/>
    </w:rPr>
  </w:style>
  <w:style w:type="paragraph" w:styleId="Heading3">
    <w:name w:val="heading 3"/>
    <w:basedOn w:val="Normal"/>
    <w:next w:val="Normal"/>
    <w:link w:val="Heading3Char"/>
    <w:uiPriority w:val="9"/>
    <w:semiHidden/>
    <w:unhideWhenUsed/>
    <w:qFormat/>
    <w:rsid w:val="004E4D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4DFC"/>
    <w:rPr>
      <w:rFonts w:ascii="Arial" w:eastAsia="Times New Roman" w:hAnsi="Arial" w:cs="Times New Roman"/>
      <w:spacing w:val="-4"/>
      <w:kern w:val="0"/>
      <w:sz w:val="48"/>
      <w:szCs w:val="20"/>
      <w:lang w:val="en-GB"/>
      <w14:ligatures w14:val="none"/>
    </w:rPr>
  </w:style>
  <w:style w:type="paragraph" w:styleId="Footer">
    <w:name w:val="footer"/>
    <w:basedOn w:val="Normal"/>
    <w:link w:val="FooterChar"/>
    <w:rsid w:val="004E4DFC"/>
    <w:pPr>
      <w:tabs>
        <w:tab w:val="center" w:pos="4153"/>
        <w:tab w:val="right" w:pos="8306"/>
      </w:tabs>
    </w:pPr>
    <w:rPr>
      <w:lang w:val="x-none" w:eastAsia="x-none"/>
    </w:rPr>
  </w:style>
  <w:style w:type="character" w:customStyle="1" w:styleId="FooterChar">
    <w:name w:val="Footer Char"/>
    <w:basedOn w:val="DefaultParagraphFont"/>
    <w:link w:val="Footer"/>
    <w:rsid w:val="004E4DFC"/>
    <w:rPr>
      <w:rFonts w:ascii="Arial" w:eastAsia="Times New Roman" w:hAnsi="Arial" w:cs="Times New Roman"/>
      <w:kern w:val="0"/>
      <w:sz w:val="20"/>
      <w:szCs w:val="20"/>
      <w:lang w:val="x-none" w:eastAsia="x-none"/>
      <w14:ligatures w14:val="none"/>
    </w:rPr>
  </w:style>
  <w:style w:type="paragraph" w:customStyle="1" w:styleId="Heading3nonum">
    <w:name w:val="Heading 3 nonum"/>
    <w:basedOn w:val="Heading3"/>
    <w:rsid w:val="004E4DFC"/>
    <w:pPr>
      <w:keepNext w:val="0"/>
      <w:spacing w:before="120" w:line="270" w:lineRule="exact"/>
      <w:jc w:val="left"/>
    </w:pPr>
    <w:rPr>
      <w:rFonts w:ascii="Arial" w:eastAsia="Times New Roman" w:hAnsi="Arial" w:cs="Times New Roman"/>
      <w:color w:val="auto"/>
      <w:sz w:val="20"/>
      <w:szCs w:val="20"/>
      <w:lang w:eastAsia="en-US"/>
    </w:rPr>
  </w:style>
  <w:style w:type="character" w:customStyle="1" w:styleId="change">
    <w:name w:val="change"/>
    <w:rsid w:val="004E4DFC"/>
    <w:rPr>
      <w:color w:val="FF0000"/>
    </w:rPr>
  </w:style>
  <w:style w:type="character" w:styleId="Hyperlink">
    <w:name w:val="Hyperlink"/>
    <w:rsid w:val="004E4DFC"/>
    <w:rPr>
      <w:color w:val="0000FF"/>
      <w:u w:val="single"/>
    </w:rPr>
  </w:style>
  <w:style w:type="paragraph" w:styleId="NormalWeb">
    <w:name w:val="Normal (Web)"/>
    <w:basedOn w:val="Normal"/>
    <w:uiPriority w:val="99"/>
    <w:unhideWhenUsed/>
    <w:rsid w:val="004E4DFC"/>
    <w:pPr>
      <w:spacing w:before="0" w:beforeAutospacing="0" w:after="0" w:afterAutospacing="0"/>
      <w:jc w:val="left"/>
    </w:pPr>
    <w:rPr>
      <w:rFonts w:ascii="Calibri" w:eastAsia="Calibri" w:hAnsi="Calibri" w:cs="Calibri"/>
      <w:sz w:val="22"/>
      <w:szCs w:val="22"/>
    </w:rPr>
  </w:style>
  <w:style w:type="character" w:styleId="Strong">
    <w:name w:val="Strong"/>
    <w:uiPriority w:val="22"/>
    <w:qFormat/>
    <w:rsid w:val="004E4DFC"/>
    <w:rPr>
      <w:b/>
      <w:bCs/>
    </w:rPr>
  </w:style>
  <w:style w:type="character" w:customStyle="1" w:styleId="Heading3Char">
    <w:name w:val="Heading 3 Char"/>
    <w:basedOn w:val="DefaultParagraphFont"/>
    <w:link w:val="Heading3"/>
    <w:uiPriority w:val="9"/>
    <w:semiHidden/>
    <w:rsid w:val="004E4DFC"/>
    <w:rPr>
      <w:rFonts w:asciiTheme="majorHAnsi" w:eastAsiaTheme="majorEastAsia" w:hAnsiTheme="majorHAnsi" w:cstheme="majorBidi"/>
      <w:color w:val="1F3763" w:themeColor="accent1" w:themeShade="7F"/>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LCourtMailbox@scotcourtstribunals.gov.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ission.trading@sepa.org.uk" TargetMode="External"/><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yperlink" Target="mailto:emission.trading@sepa.org.uk" TargetMode="External"/><Relationship Id="rId4" Type="http://schemas.openxmlformats.org/officeDocument/2006/relationships/webSettings" Target="webSettings.xml"/><Relationship Id="rId9" Type="http://schemas.openxmlformats.org/officeDocument/2006/relationships/hyperlink" Target="http://www.scottish-land-court.org.uk/using/making-an-appl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7</cp:revision>
  <dcterms:created xsi:type="dcterms:W3CDTF">2023-05-09T14:17:00Z</dcterms:created>
  <dcterms:modified xsi:type="dcterms:W3CDTF">2023-05-09T14:32:00Z</dcterms:modified>
</cp:coreProperties>
</file>