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1"/>
        <w:gridCol w:w="3754"/>
      </w:tblGrid>
      <w:tr w:rsidR="00F45BE7" w14:paraId="0680E312" w14:textId="77777777" w:rsidTr="00F45BE7">
        <w:trPr>
          <w:trHeight w:val="1493"/>
        </w:trPr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E38C63" w14:textId="77777777" w:rsidR="00F45BE7" w:rsidRDefault="00F45BE7">
            <w:pPr>
              <w:spacing w:after="120" w:line="254" w:lineRule="auto"/>
              <w:jc w:val="left"/>
              <w:rPr>
                <w:color w:val="FFFFFF" w:themeColor="background1"/>
                <w:sz w:val="16"/>
              </w:rPr>
            </w:pPr>
            <w:bookmarkStart w:id="0" w:name="_Toc456504855"/>
            <w:r>
              <w:rPr>
                <w:color w:val="FFFFFF" w:themeColor="background1"/>
                <w:sz w:val="16"/>
              </w:rPr>
              <w:br w:type="page"/>
            </w:r>
          </w:p>
          <w:p w14:paraId="608D6B49" w14:textId="77777777" w:rsidR="00F45BE7" w:rsidRDefault="00F45BE7">
            <w:pPr>
              <w:spacing w:after="120" w:line="254" w:lineRule="auto"/>
              <w:jc w:val="left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Return of Allowances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A7A3" w14:textId="4DF741EF" w:rsidR="00F45BE7" w:rsidRDefault="00F45BE7">
            <w:pPr>
              <w:spacing w:line="254" w:lineRule="auto"/>
              <w:jc w:val="center"/>
              <w:rPr>
                <w:rFonts w:cs="Arial"/>
              </w:rPr>
            </w:pPr>
            <w:bookmarkStart w:id="1" w:name="competentAuthorityLogo"/>
            <w:r>
              <w:rPr>
                <w:noProof/>
              </w:rPr>
              <w:drawing>
                <wp:inline distT="0" distB="0" distL="0" distR="0" wp14:anchorId="4768DC98" wp14:editId="5425ECB8">
                  <wp:extent cx="2165350" cy="2317750"/>
                  <wp:effectExtent l="0" t="0" r="6350" b="6350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5AAD7090" w14:textId="77777777" w:rsidR="00F45BE7" w:rsidRDefault="00F45BE7" w:rsidP="005B078B">
      <w:pPr>
        <w:jc w:val="left"/>
      </w:pPr>
    </w:p>
    <w:p w14:paraId="3766A62E" w14:textId="10745A00" w:rsidR="005B078B" w:rsidRPr="00855984" w:rsidRDefault="005B078B" w:rsidP="005B078B">
      <w:pPr>
        <w:jc w:val="left"/>
      </w:pPr>
      <w:r w:rsidRPr="00855984">
        <w:t xml:space="preserve">The Greenhouse Gas Emissions Trading Scheme Regulations </w:t>
      </w:r>
      <w:r>
        <w:t>2012</w:t>
      </w:r>
      <w:r w:rsidRPr="00855984">
        <w:t xml:space="preserve"> (</w:t>
      </w:r>
      <w:r>
        <w:t>SI 2012 No. 3038</w:t>
      </w:r>
      <w:r w:rsidRPr="00855984">
        <w:t>) (the Regulations)</w:t>
      </w:r>
    </w:p>
    <w:p w14:paraId="7801F23F" w14:textId="77777777" w:rsidR="005B078B" w:rsidRPr="00855984" w:rsidRDefault="005B078B" w:rsidP="005B078B">
      <w:pPr>
        <w:pStyle w:val="Heading1"/>
      </w:pPr>
      <w:r w:rsidRPr="00855984">
        <w:t xml:space="preserve">Notice </w:t>
      </w:r>
      <w:r>
        <w:t xml:space="preserve">to Return </w:t>
      </w:r>
      <w:r w:rsidRPr="00855984">
        <w:t>Allowances</w:t>
      </w:r>
    </w:p>
    <w:p w14:paraId="7DB75C49" w14:textId="628064B6" w:rsidR="005B078B" w:rsidRPr="00855984" w:rsidRDefault="005B078B" w:rsidP="005B078B">
      <w:pPr>
        <w:jc w:val="left"/>
        <w:rPr>
          <w:rFonts w:cs="Arial"/>
        </w:rPr>
      </w:pPr>
      <w:r w:rsidRPr="00855984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 w:rsidR="00F400EE">
        <w:rPr>
          <w:rFonts w:cs="Arial"/>
        </w:rPr>
        <w:fldChar w:fldCharType="begin"/>
      </w:r>
      <w:r w:rsidR="00F400EE">
        <w:rPr>
          <w:rFonts w:cs="Arial"/>
        </w:rPr>
        <w:instrText xml:space="preserve"> MERGEFIELD  ${(permitId)!}  \* MERGEFORMAT </w:instrText>
      </w:r>
      <w:r w:rsidR="00F400EE">
        <w:rPr>
          <w:rFonts w:cs="Arial"/>
        </w:rPr>
        <w:fldChar w:fldCharType="separate"/>
      </w:r>
      <w:r w:rsidR="00F400EE">
        <w:rPr>
          <w:rFonts w:cs="Arial"/>
          <w:noProof/>
        </w:rPr>
        <w:t>«${(permitId)!}»</w:t>
      </w:r>
      <w:r w:rsidR="00F400EE">
        <w:rPr>
          <w:rFonts w:cs="Arial"/>
        </w:rPr>
        <w:fldChar w:fldCharType="end"/>
      </w:r>
    </w:p>
    <w:p w14:paraId="7E5C5108" w14:textId="1A18562C" w:rsidR="005B078B" w:rsidRPr="00855984" w:rsidRDefault="005B078B" w:rsidP="005B078B">
      <w:pPr>
        <w:jc w:val="left"/>
        <w:rPr>
          <w:b/>
        </w:rPr>
      </w:pPr>
      <w:r w:rsidRPr="00855984">
        <w:t>To:</w:t>
      </w:r>
      <w:r>
        <w:t xml:space="preserve"> </w:t>
      </w:r>
      <w:r w:rsidR="00F400EE">
        <w:rPr>
          <w:snapToGrid w:val="0"/>
          <w:lang w:val="en-US" w:eastAsia="en-US"/>
        </w:rPr>
        <w:fldChar w:fldCharType="begin"/>
      </w:r>
      <w:r w:rsidR="00F400EE">
        <w:rPr>
          <w:snapToGrid w:val="0"/>
          <w:lang w:val="en-US" w:eastAsia="en-US"/>
        </w:rPr>
        <w:instrText xml:space="preserve"> MERGEFIELD  ${(account.legalEntityName)!}  \* MERGEFORMAT </w:instrText>
      </w:r>
      <w:r w:rsidR="00F400EE">
        <w:rPr>
          <w:snapToGrid w:val="0"/>
          <w:lang w:val="en-US" w:eastAsia="en-US"/>
        </w:rPr>
        <w:fldChar w:fldCharType="separate"/>
      </w:r>
      <w:r w:rsidR="00F400EE">
        <w:rPr>
          <w:noProof/>
          <w:snapToGrid w:val="0"/>
          <w:lang w:val="en-US" w:eastAsia="en-US"/>
        </w:rPr>
        <w:t>«${(account.legalEntityName)!}»</w:t>
      </w:r>
      <w:r w:rsidR="00F400EE">
        <w:rPr>
          <w:snapToGrid w:val="0"/>
          <w:lang w:val="en-US" w:eastAsia="en-US"/>
        </w:rPr>
        <w:fldChar w:fldCharType="end"/>
      </w:r>
      <w:r w:rsidRPr="00855984">
        <w:t xml:space="preserve"> </w:t>
      </w:r>
      <w:r w:rsidRPr="00855984">
        <w:rPr>
          <w:b/>
        </w:rPr>
        <w:t>(the Operator),</w:t>
      </w:r>
    </w:p>
    <w:p w14:paraId="369D8B21" w14:textId="77777777" w:rsidR="005B078B" w:rsidRPr="00EC418F" w:rsidRDefault="005B078B" w:rsidP="005B078B">
      <w:pPr>
        <w:jc w:val="left"/>
        <w:rPr>
          <w:rFonts w:cs="Arial"/>
        </w:rPr>
      </w:pPr>
      <w:r w:rsidRPr="00EC418F">
        <w:rPr>
          <w:rFonts w:cs="Arial"/>
        </w:rPr>
        <w:t>whose (Registered) office address is</w:t>
      </w:r>
    </w:p>
    <w:p w14:paraId="54EF4821" w14:textId="0FF5A4C9" w:rsidR="005B078B" w:rsidRPr="000F4EC3" w:rsidRDefault="00F400EE" w:rsidP="005B078B">
      <w:pPr>
        <w:spacing w:after="120"/>
        <w:rPr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«${(account.legalEntityLocation)!}»</w:t>
      </w:r>
      <w:r>
        <w:rPr>
          <w:snapToGrid w:val="0"/>
          <w:lang w:val="en-US" w:eastAsia="en-US"/>
        </w:rPr>
        <w:fldChar w:fldCharType="end"/>
      </w:r>
    </w:p>
    <w:p w14:paraId="7AAEFD57" w14:textId="77777777" w:rsidR="005B078B" w:rsidRPr="00EC418F" w:rsidRDefault="005B078B" w:rsidP="005B078B">
      <w:pPr>
        <w:spacing w:before="0"/>
        <w:jc w:val="left"/>
        <w:rPr>
          <w:rFonts w:cs="Arial"/>
        </w:rPr>
      </w:pPr>
      <w:r w:rsidRPr="00EC418F">
        <w:rPr>
          <w:rFonts w:cs="Arial"/>
        </w:rPr>
        <w:t>which relates to the operation of (part of) the Installation(s) at</w:t>
      </w:r>
    </w:p>
    <w:p w14:paraId="2639ED44" w14:textId="7B80C44D" w:rsidR="005B078B" w:rsidRPr="00855984" w:rsidRDefault="00F400EE" w:rsidP="005B078B">
      <w:pPr>
        <w:spacing w:before="0"/>
        <w:jc w:val="left"/>
        <w:rPr>
          <w:lang w:eastAsia="en-US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${(account.siteName)!}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«${(account.siteName)!}»</w:t>
      </w:r>
      <w:r>
        <w:rPr>
          <w:snapToGrid w:val="0"/>
          <w:lang w:val="en-US" w:eastAsia="en-US"/>
        </w:rPr>
        <w:fldChar w:fldCharType="end"/>
      </w:r>
    </w:p>
    <w:p w14:paraId="17500A85" w14:textId="2C539A61" w:rsidR="005B078B" w:rsidRPr="00855984" w:rsidRDefault="00F400EE" w:rsidP="005B078B">
      <w:pPr>
        <w:spacing w:before="0"/>
        <w:jc w:val="left"/>
        <w:rPr>
          <w:b/>
          <w:lang w:eastAsia="en-US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«${(account.location)!}»</w:t>
      </w:r>
      <w:r>
        <w:rPr>
          <w:snapToGrid w:val="0"/>
          <w:lang w:val="en-US" w:eastAsia="en-US"/>
        </w:rPr>
        <w:fldChar w:fldCharType="end"/>
      </w:r>
    </w:p>
    <w:p w14:paraId="74B0485C" w14:textId="57A84542" w:rsidR="005B078B" w:rsidRDefault="005B078B" w:rsidP="005B078B">
      <w:r w:rsidRPr="00855984">
        <w:t xml:space="preserve">The </w:t>
      </w:r>
      <w:fldSimple w:instr=" MERGEFIELD  ${(competentAuthority.name)!}  \* MERGEFORMAT ">
        <w:r w:rsidR="00F400EE">
          <w:rPr>
            <w:noProof/>
          </w:rPr>
          <w:t>«${(competentAuthority.name)!}»</w:t>
        </w:r>
      </w:fldSimple>
      <w:r w:rsidRPr="00855984">
        <w:t xml:space="preserve">, in exercise of its powers under </w:t>
      </w:r>
      <w:r>
        <w:t>Schedule 6 paragraph 11(2)</w:t>
      </w:r>
      <w:r w:rsidRPr="00855984">
        <w:t xml:space="preserve"> of the Regulations, hereby gives you notice </w:t>
      </w:r>
      <w:r>
        <w:t>that you are required to return allowances which have been issued to you but to which you are not entitled.</w:t>
      </w:r>
    </w:p>
    <w:p w14:paraId="29D4EC88" w14:textId="77777777" w:rsidR="005B078B" w:rsidRDefault="005B078B" w:rsidP="005B078B">
      <w:r>
        <w:t xml:space="preserve">The number of allowances to which you are not entitled, and the reason or reasons why you are not entitled to them, are </w:t>
      </w:r>
      <w:r w:rsidRPr="00855984">
        <w:t>specified in the Schedule to this Notice.</w:t>
      </w:r>
    </w:p>
    <w:p w14:paraId="6882E1AA" w14:textId="77777777" w:rsidR="005B078B" w:rsidRDefault="005B078B" w:rsidP="005B078B">
      <w:r>
        <w:t>The allowances must be returned by the date specified in the Schedule (“the return date”) in accordance with the process specified in the Schedule.</w:t>
      </w:r>
    </w:p>
    <w:p w14:paraId="64A656C6" w14:textId="77777777" w:rsidR="00F400EE" w:rsidRDefault="005B078B" w:rsidP="005B078B">
      <w:r>
        <w:t xml:space="preserve">Failure to return the allowances or to return them by the return date could lead to the imposition of a civil penalty.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6"/>
        <w:gridCol w:w="7127"/>
      </w:tblGrid>
      <w:tr w:rsidR="00F400EE" w:rsidRPr="00EC418F" w14:paraId="0724BF74" w14:textId="77777777" w:rsidTr="001B5EDD">
        <w:trPr>
          <w:cantSplit/>
          <w:trHeight w:hRule="exact" w:val="404"/>
        </w:trPr>
        <w:tc>
          <w:tcPr>
            <w:tcW w:w="1346" w:type="pct"/>
            <w:tcBorders>
              <w:top w:val="nil"/>
              <w:left w:val="nil"/>
              <w:right w:val="nil"/>
            </w:tcBorders>
            <w:vAlign w:val="center"/>
          </w:tcPr>
          <w:p w14:paraId="134AB569" w14:textId="5D95D25C" w:rsidR="00F400EE" w:rsidRPr="00EC418F" w:rsidRDefault="00F400EE" w:rsidP="00847082">
            <w:pPr>
              <w:jc w:val="left"/>
            </w:pPr>
            <w:r>
              <w:br w:type="page"/>
            </w:r>
            <w:r w:rsidRPr="00EC418F">
              <w:t>Signed</w:t>
            </w:r>
          </w:p>
        </w:tc>
        <w:tc>
          <w:tcPr>
            <w:tcW w:w="3654" w:type="pct"/>
            <w:tcBorders>
              <w:top w:val="nil"/>
              <w:left w:val="nil"/>
              <w:right w:val="nil"/>
            </w:tcBorders>
            <w:vAlign w:val="center"/>
          </w:tcPr>
          <w:p w14:paraId="341E3D5C" w14:textId="77777777" w:rsidR="00F400EE" w:rsidRPr="00EC418F" w:rsidRDefault="00F400EE" w:rsidP="00847082">
            <w:pPr>
              <w:jc w:val="left"/>
            </w:pPr>
            <w:r w:rsidRPr="00EC418F">
              <w:t>Date</w:t>
            </w:r>
          </w:p>
        </w:tc>
      </w:tr>
      <w:tr w:rsidR="00F400EE" w:rsidRPr="00EC418F" w14:paraId="04B8FE3D" w14:textId="77777777" w:rsidTr="001B5EDD">
        <w:trPr>
          <w:cantSplit/>
          <w:trHeight w:val="548"/>
        </w:trPr>
        <w:tc>
          <w:tcPr>
            <w:tcW w:w="1346" w:type="pct"/>
            <w:vAlign w:val="center"/>
          </w:tcPr>
          <w:p w14:paraId="27D16E21" w14:textId="6FF3FE85" w:rsidR="00F400EE" w:rsidRPr="00EC418F" w:rsidRDefault="00F400EE" w:rsidP="00847082">
            <w:pPr>
              <w:jc w:val="center"/>
            </w:pPr>
            <w:bookmarkStart w:id="2" w:name="signature2"/>
            <w:r>
              <w:rPr>
                <w:noProof/>
              </w:rPr>
              <w:drawing>
                <wp:inline distT="0" distB="0" distL="0" distR="0" wp14:anchorId="04051A35" wp14:editId="52CB02DF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vAlign w:val="center"/>
          </w:tcPr>
          <w:p w14:paraId="287AA92D" w14:textId="77777777" w:rsidR="00F400EE" w:rsidRPr="00EC418F" w:rsidRDefault="00F400EE" w:rsidP="00847082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47FE2A4C" w14:textId="77777777" w:rsidR="00F400EE" w:rsidRDefault="00F400EE" w:rsidP="00F400EE">
      <w:pPr>
        <w:jc w:val="left"/>
        <w:rPr>
          <w:rFonts w:cs="Arial"/>
        </w:rPr>
      </w:pPr>
    </w:p>
    <w:p w14:paraId="7CA99207" w14:textId="77777777" w:rsidR="00F400EE" w:rsidRPr="00855984" w:rsidRDefault="00F400EE" w:rsidP="00F400E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0541061" w14:textId="77777777" w:rsidR="00F400EE" w:rsidRPr="00E31351" w:rsidRDefault="00F400EE" w:rsidP="00F400EE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lastRenderedPageBreak/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${(competentAuthority.name)!}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«${(competentAuthority.name)!}»</w:t>
      </w:r>
      <w:r>
        <w:rPr>
          <w:rFonts w:cs="Arial"/>
          <w:snapToGrid w:val="0"/>
        </w:rPr>
        <w:fldChar w:fldCharType="end"/>
      </w:r>
    </w:p>
    <w:p w14:paraId="79442AFA" w14:textId="3C682A6B" w:rsidR="005B078B" w:rsidRDefault="005B078B" w:rsidP="00847082">
      <w:pPr>
        <w:pageBreakBefore/>
        <w:spacing w:before="0"/>
      </w:pPr>
      <w:r w:rsidRPr="00855984">
        <w:rPr>
          <w:b/>
        </w:rPr>
        <w:lastRenderedPageBreak/>
        <w:t>About this notice</w:t>
      </w:r>
      <w:r w:rsidRPr="00855984">
        <w:t xml:space="preserve"> </w:t>
      </w:r>
    </w:p>
    <w:p w14:paraId="4731A3F8" w14:textId="77777777" w:rsidR="005B078B" w:rsidRDefault="005B078B" w:rsidP="005B078B">
      <w:pPr>
        <w:spacing w:before="0"/>
      </w:pPr>
    </w:p>
    <w:bookmarkEnd w:id="0"/>
    <w:p w14:paraId="566C3157" w14:textId="77777777" w:rsidR="005B078B" w:rsidRDefault="005B078B" w:rsidP="005B078B">
      <w:pPr>
        <w:spacing w:before="0"/>
        <w:rPr>
          <w:rFonts w:ascii="TimesNewRoman" w:hAnsi="TimesNewRoman" w:cs="TimesNewRoman"/>
          <w:sz w:val="21"/>
          <w:szCs w:val="21"/>
        </w:rPr>
      </w:pPr>
      <w:r>
        <w:rPr>
          <w:rFonts w:cs="Arial"/>
          <w:bCs/>
        </w:rPr>
        <w:t xml:space="preserve">If allowances have been issued to you when you are not entitled to </w:t>
      </w:r>
      <w:proofErr w:type="gramStart"/>
      <w:r>
        <w:rPr>
          <w:rFonts w:cs="Arial"/>
          <w:bCs/>
        </w:rPr>
        <w:t>them</w:t>
      </w:r>
      <w:proofErr w:type="gramEnd"/>
      <w:r>
        <w:rPr>
          <w:rFonts w:cs="Arial"/>
          <w:bCs/>
        </w:rPr>
        <w:t xml:space="preserve"> </w:t>
      </w:r>
      <w:r>
        <w:rPr>
          <w:rFonts w:cs="Arial"/>
        </w:rPr>
        <w:t xml:space="preserve">we are required </w:t>
      </w:r>
      <w:r>
        <w:rPr>
          <w:rFonts w:cs="Arial"/>
          <w:bCs/>
        </w:rPr>
        <w:t xml:space="preserve">by Schedule 6 paragraph 11 of </w:t>
      </w:r>
      <w:r>
        <w:rPr>
          <w:rFonts w:cs="Arial"/>
        </w:rPr>
        <w:t>t</w:t>
      </w:r>
      <w:r w:rsidRPr="00EC418F">
        <w:rPr>
          <w:rFonts w:cs="Arial"/>
        </w:rPr>
        <w:t xml:space="preserve">he Greenhouse Gas Emissions Trading Scheme Regulations </w:t>
      </w:r>
      <w:r>
        <w:rPr>
          <w:rFonts w:cs="Arial"/>
        </w:rPr>
        <w:t>2012</w:t>
      </w:r>
      <w:r w:rsidRPr="00EC418F">
        <w:rPr>
          <w:rFonts w:cs="Arial"/>
        </w:rPr>
        <w:t xml:space="preserve"> (S.I.</w:t>
      </w:r>
      <w:r>
        <w:rPr>
          <w:rFonts w:cs="Arial"/>
        </w:rPr>
        <w:t xml:space="preserve"> 2012</w:t>
      </w:r>
      <w:r w:rsidRPr="00EC418F">
        <w:rPr>
          <w:rFonts w:cs="Arial"/>
        </w:rPr>
        <w:t xml:space="preserve"> No.</w:t>
      </w:r>
      <w:r>
        <w:rPr>
          <w:rFonts w:cs="Arial"/>
        </w:rPr>
        <w:t>3038</w:t>
      </w:r>
      <w:r w:rsidRPr="00EC418F">
        <w:rPr>
          <w:rFonts w:cs="Arial"/>
        </w:rPr>
        <w:t>)</w:t>
      </w:r>
      <w:r>
        <w:rPr>
          <w:rFonts w:cs="Arial"/>
        </w:rPr>
        <w:t xml:space="preserve"> to instruct</w:t>
      </w:r>
      <w:r>
        <w:rPr>
          <w:rFonts w:cs="Arial"/>
          <w:bCs/>
        </w:rPr>
        <w:t xml:space="preserve"> you to return allowances equal to those to which you were not entitled. You are required to comply with this instruction and may be liable to a civil penalty if you fail to do so.     </w:t>
      </w:r>
    </w:p>
    <w:p w14:paraId="0FADC50E" w14:textId="77777777" w:rsidR="005B078B" w:rsidRDefault="005B078B" w:rsidP="005B078B">
      <w:pPr>
        <w:autoSpaceDE w:val="0"/>
        <w:autoSpaceDN w:val="0"/>
        <w:adjustRightInd w:val="0"/>
        <w:spacing w:before="0"/>
        <w:rPr>
          <w:rFonts w:ascii="TimesNewRoman" w:hAnsi="TimesNewRoman" w:cs="TimesNewRoman"/>
          <w:sz w:val="21"/>
          <w:szCs w:val="21"/>
        </w:rPr>
      </w:pPr>
      <w:r w:rsidDel="00AB216B">
        <w:rPr>
          <w:rFonts w:ascii="TimesNewRoman" w:hAnsi="TimesNewRoman" w:cs="TimesNewRoman"/>
          <w:sz w:val="21"/>
          <w:szCs w:val="21"/>
        </w:rPr>
        <w:t xml:space="preserve"> </w:t>
      </w:r>
    </w:p>
    <w:p w14:paraId="186D5386" w14:textId="77777777" w:rsidR="005B078B" w:rsidRDefault="005B078B" w:rsidP="005B078B">
      <w:pPr>
        <w:spacing w:before="0"/>
      </w:pPr>
      <w:r w:rsidRPr="00855984">
        <w:t xml:space="preserve">You have a right of appeal if you are aggrieved by this notice. </w:t>
      </w:r>
      <w:r>
        <w:t xml:space="preserve">An </w:t>
      </w:r>
      <w:r w:rsidRPr="00855984">
        <w:t xml:space="preserve">appeal </w:t>
      </w:r>
      <w:r>
        <w:t>should</w:t>
      </w:r>
      <w:r w:rsidRPr="00855984">
        <w:t xml:space="preserve"> be lodged within a period of </w:t>
      </w:r>
      <w:r>
        <w:t>24 days</w:t>
      </w:r>
      <w:r w:rsidRPr="00855984">
        <w:t xml:space="preserve"> beginning with the date of this notice.</w:t>
      </w:r>
      <w:r>
        <w:t xml:space="preserve"> </w:t>
      </w:r>
    </w:p>
    <w:p w14:paraId="352A0051" w14:textId="77777777" w:rsidR="005B078B" w:rsidRDefault="005B078B" w:rsidP="005B078B">
      <w:pPr>
        <w:spacing w:before="0"/>
      </w:pPr>
    </w:p>
    <w:p w14:paraId="275AE597" w14:textId="77777777" w:rsidR="005B078B" w:rsidRPr="00651914" w:rsidRDefault="005B078B" w:rsidP="005B078B">
      <w:pPr>
        <w:tabs>
          <w:tab w:val="left" w:pos="-1368"/>
          <w:tab w:val="left" w:pos="72"/>
          <w:tab w:val="left" w:pos="792"/>
          <w:tab w:val="left" w:pos="1512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</w:tabs>
        <w:rPr>
          <w:rFonts w:cs="Arial"/>
          <w:snapToGrid w:val="0"/>
          <w:lang w:eastAsia="en-US"/>
        </w:rPr>
      </w:pPr>
      <w:r w:rsidRPr="00651914">
        <w:rPr>
          <w:snapToGrid w:val="0"/>
          <w:lang w:eastAsia="en-US"/>
        </w:rPr>
        <w:t xml:space="preserve">Notice of any appeal including a statement of the grounds of appeal and any other required documents must be given in writing. </w:t>
      </w:r>
      <w:r w:rsidRPr="00651914">
        <w:rPr>
          <w:rFonts w:cs="Arial"/>
          <w:snapToGrid w:val="0"/>
          <w:lang w:eastAsia="en-US"/>
        </w:rPr>
        <w:t xml:space="preserve">A copy of the appeal should also be forwarded to the </w:t>
      </w:r>
      <w:r>
        <w:rPr>
          <w:snapToGrid w:val="0"/>
          <w:lang w:val="en-US" w:eastAsia="en-US"/>
        </w:rPr>
        <w:t>Scottish Environment Protection Agency</w:t>
      </w:r>
      <w:r w:rsidRPr="00651914">
        <w:rPr>
          <w:rFonts w:cs="Arial"/>
          <w:snapToGrid w:val="0"/>
          <w:lang w:eastAsia="en-US"/>
        </w:rPr>
        <w:t>. The bringing of an appeal will suspend the effect of the Notice until the appeal is finally determined or is withdrawn.</w:t>
      </w:r>
    </w:p>
    <w:p w14:paraId="6526943D" w14:textId="77777777" w:rsidR="005B078B" w:rsidRPr="00651914" w:rsidRDefault="005B078B" w:rsidP="005B078B">
      <w:pPr>
        <w:tabs>
          <w:tab w:val="left" w:pos="-1368"/>
          <w:tab w:val="left" w:pos="72"/>
          <w:tab w:val="left" w:pos="792"/>
          <w:tab w:val="left" w:pos="1512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</w:tabs>
        <w:rPr>
          <w:rFonts w:cs="Arial"/>
          <w:snapToGrid w:val="0"/>
          <w:lang w:eastAsia="en-US"/>
        </w:rPr>
      </w:pPr>
      <w:r w:rsidRPr="00651914">
        <w:rPr>
          <w:rFonts w:cs="Arial"/>
          <w:snapToGrid w:val="0"/>
          <w:lang w:eastAsia="en-US"/>
        </w:rPr>
        <w:t>Appeals should be sent to:</w:t>
      </w:r>
    </w:p>
    <w:p w14:paraId="1411E5D1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rFonts w:cs="Arial"/>
          <w:b/>
          <w:lang w:eastAsia="en-US"/>
        </w:rPr>
      </w:pPr>
      <w:r w:rsidRPr="00651914">
        <w:rPr>
          <w:rFonts w:cs="Arial"/>
          <w:b/>
          <w:lang w:eastAsia="en-US"/>
        </w:rPr>
        <w:t xml:space="preserve">Scottish Government Directorate for Planning and Environmental Appeals, </w:t>
      </w:r>
    </w:p>
    <w:p w14:paraId="0DAA4DDC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rFonts w:cs="Arial"/>
          <w:b/>
          <w:lang w:eastAsia="en-US"/>
        </w:rPr>
      </w:pPr>
      <w:r w:rsidRPr="00651914">
        <w:rPr>
          <w:rFonts w:cs="Arial"/>
          <w:b/>
          <w:lang w:eastAsia="en-US"/>
        </w:rPr>
        <w:t xml:space="preserve">4 The Courtyard, </w:t>
      </w:r>
    </w:p>
    <w:p w14:paraId="5979969C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rFonts w:cs="Arial"/>
          <w:b/>
          <w:lang w:eastAsia="en-US"/>
        </w:rPr>
      </w:pPr>
      <w:proofErr w:type="spellStart"/>
      <w:r w:rsidRPr="00651914">
        <w:rPr>
          <w:rFonts w:cs="Arial"/>
          <w:b/>
          <w:lang w:eastAsia="en-US"/>
        </w:rPr>
        <w:t>Callendar</w:t>
      </w:r>
      <w:proofErr w:type="spellEnd"/>
      <w:r w:rsidRPr="00651914">
        <w:rPr>
          <w:rFonts w:cs="Arial"/>
          <w:b/>
          <w:lang w:eastAsia="en-US"/>
        </w:rPr>
        <w:t xml:space="preserve"> Business Park, </w:t>
      </w:r>
    </w:p>
    <w:p w14:paraId="2893C686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rFonts w:cs="Arial"/>
          <w:b/>
          <w:lang w:eastAsia="en-US"/>
        </w:rPr>
      </w:pPr>
      <w:proofErr w:type="spellStart"/>
      <w:r w:rsidRPr="00651914">
        <w:rPr>
          <w:rFonts w:cs="Arial"/>
          <w:b/>
          <w:lang w:eastAsia="en-US"/>
        </w:rPr>
        <w:t>Callendar</w:t>
      </w:r>
      <w:proofErr w:type="spellEnd"/>
      <w:r w:rsidRPr="00651914">
        <w:rPr>
          <w:rFonts w:cs="Arial"/>
          <w:b/>
          <w:lang w:eastAsia="en-US"/>
        </w:rPr>
        <w:t xml:space="preserve"> Road, </w:t>
      </w:r>
    </w:p>
    <w:p w14:paraId="4833D314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rFonts w:cs="Arial"/>
          <w:b/>
          <w:lang w:eastAsia="en-US"/>
        </w:rPr>
      </w:pPr>
      <w:r w:rsidRPr="00651914">
        <w:rPr>
          <w:rFonts w:cs="Arial"/>
          <w:b/>
          <w:lang w:eastAsia="en-US"/>
        </w:rPr>
        <w:t xml:space="preserve">Falkirk, </w:t>
      </w:r>
    </w:p>
    <w:p w14:paraId="07357C49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rFonts w:cs="Arial"/>
          <w:b/>
          <w:lang w:eastAsia="en-US"/>
        </w:rPr>
      </w:pPr>
      <w:r w:rsidRPr="00651914">
        <w:rPr>
          <w:rFonts w:cs="Arial"/>
          <w:b/>
          <w:lang w:eastAsia="en-US"/>
        </w:rPr>
        <w:t>FK1 1XR</w:t>
      </w:r>
    </w:p>
    <w:p w14:paraId="29EDC414" w14:textId="77777777" w:rsidR="005B078B" w:rsidRPr="00651914" w:rsidRDefault="005B078B" w:rsidP="005B078B">
      <w:pPr>
        <w:tabs>
          <w:tab w:val="left" w:pos="720"/>
        </w:tabs>
        <w:spacing w:before="60"/>
        <w:jc w:val="left"/>
        <w:rPr>
          <w:b/>
          <w:lang w:eastAsia="en-US"/>
        </w:rPr>
      </w:pPr>
      <w:r w:rsidRPr="00651914">
        <w:rPr>
          <w:rFonts w:cs="Arial"/>
          <w:b/>
          <w:lang w:eastAsia="en-US"/>
        </w:rPr>
        <w:t xml:space="preserve">Tel: </w:t>
      </w:r>
      <w:r w:rsidRPr="00651914">
        <w:rPr>
          <w:b/>
          <w:sz w:val="22"/>
          <w:szCs w:val="22"/>
          <w:lang w:eastAsia="en-US"/>
        </w:rPr>
        <w:t>0300 244 6668</w:t>
      </w:r>
      <w:r w:rsidRPr="00651914">
        <w:rPr>
          <w:rFonts w:cs="Arial"/>
          <w:b/>
          <w:lang w:eastAsia="en-US"/>
        </w:rPr>
        <w:br/>
        <w:t xml:space="preserve">Email: </w:t>
      </w:r>
      <w:proofErr w:type="spellStart"/>
      <w:r w:rsidRPr="00651914">
        <w:rPr>
          <w:rFonts w:cs="Arial"/>
          <w:b/>
          <w:lang w:eastAsia="en-US"/>
        </w:rPr>
        <w:t>DPEA@gov.scot</w:t>
      </w:r>
      <w:proofErr w:type="spellEnd"/>
    </w:p>
    <w:p w14:paraId="2187F8A7" w14:textId="77777777" w:rsidR="005B078B" w:rsidRPr="00651914" w:rsidRDefault="005B078B" w:rsidP="005B078B">
      <w:pPr>
        <w:widowControl w:val="0"/>
        <w:spacing w:before="0"/>
        <w:jc w:val="left"/>
        <w:rPr>
          <w:rFonts w:cs="Arial"/>
          <w:snapToGrid w:val="0"/>
          <w:lang w:val="en-US" w:eastAsia="en-US"/>
        </w:rPr>
      </w:pPr>
    </w:p>
    <w:p w14:paraId="785AD9C9" w14:textId="77777777" w:rsidR="005B078B" w:rsidRDefault="005B078B" w:rsidP="005B078B">
      <w:pPr>
        <w:spacing w:before="0"/>
      </w:pPr>
      <w:r w:rsidRPr="00651914">
        <w:rPr>
          <w:rFonts w:cs="Arial"/>
          <w:snapToGrid w:val="0"/>
          <w:lang w:val="en-US" w:eastAsia="en-US"/>
        </w:rPr>
        <w:t>Please refer to Schedule 11 of the Regulations for full details of the appeal process</w:t>
      </w:r>
    </w:p>
    <w:p w14:paraId="5061D9EC" w14:textId="77777777" w:rsidR="005B078B" w:rsidRDefault="005B078B" w:rsidP="005B078B">
      <w:pPr>
        <w:spacing w:before="0"/>
      </w:pPr>
    </w:p>
    <w:p w14:paraId="54F20DC5" w14:textId="77777777" w:rsidR="005B078B" w:rsidRPr="00855984" w:rsidRDefault="005B078B" w:rsidP="005B078B">
      <w:pPr>
        <w:spacing w:before="0"/>
      </w:pPr>
      <w:r>
        <w:t xml:space="preserve">Regulation 67 of the Regulations states that the civil penalty for failure to return the allowances or for failing to return them on time is £20,000 plus £1000 for each day that an operator fails to return allowances following the service of a penalty notice. </w:t>
      </w:r>
    </w:p>
    <w:p w14:paraId="603C918A" w14:textId="75695DA8" w:rsidR="005B078B" w:rsidRDefault="005B078B" w:rsidP="005B078B">
      <w:pPr>
        <w:rPr>
          <w:b/>
        </w:rPr>
      </w:pPr>
      <w:r w:rsidRPr="00855984">
        <w:br w:type="page"/>
      </w:r>
      <w:r w:rsidRPr="00855984">
        <w:rPr>
          <w:b/>
        </w:rPr>
        <w:lastRenderedPageBreak/>
        <w:t>SCHEDULE</w:t>
      </w:r>
    </w:p>
    <w:p w14:paraId="663ADA0F" w14:textId="66808954" w:rsidR="001637DD" w:rsidRDefault="001637DD" w:rsidP="005B078B">
      <w:pPr>
        <w:rPr>
          <w:bCs/>
        </w:rPr>
      </w:pPr>
      <w:r>
        <w:rPr>
          <w:bCs/>
        </w:rPr>
        <w:t xml:space="preserve">The number of allowances that you must return is:  </w:t>
      </w:r>
    </w:p>
    <w:p w14:paraId="6C214024" w14:textId="7084D780" w:rsidR="001637DD" w:rsidRPr="001637DD" w:rsidRDefault="001637DD" w:rsidP="005B078B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${(params.numberOfAllowancesToBeReturned)!}  \* MERGEFORMAT </w:instrText>
      </w:r>
      <w:r>
        <w:rPr>
          <w:bCs/>
        </w:rPr>
        <w:fldChar w:fldCharType="separate"/>
      </w:r>
      <w:r>
        <w:rPr>
          <w:bCs/>
          <w:noProof/>
        </w:rPr>
        <w:t>«${(params.numberOfAllowancesToBeReturned»</w:t>
      </w:r>
      <w:r>
        <w:rPr>
          <w:bCs/>
        </w:rPr>
        <w:fldChar w:fldCharType="end"/>
      </w:r>
    </w:p>
    <w:p w14:paraId="0EA855B8" w14:textId="77777777" w:rsidR="005B078B" w:rsidRPr="00FC32D9" w:rsidRDefault="005B078B" w:rsidP="005B078B">
      <w:pPr>
        <w:spacing w:before="0"/>
        <w:rPr>
          <w:rFonts w:cs="Arial"/>
        </w:rPr>
      </w:pPr>
    </w:p>
    <w:p w14:paraId="6AED2D9C" w14:textId="4EE405FE" w:rsidR="005B078B" w:rsidRPr="00FC32D9" w:rsidRDefault="005B078B" w:rsidP="005B078B">
      <w:pPr>
        <w:spacing w:before="0"/>
        <w:rPr>
          <w:rFonts w:cs="Arial"/>
        </w:rPr>
      </w:pPr>
      <w:r w:rsidRPr="00FC32D9">
        <w:rPr>
          <w:rFonts w:cs="Arial"/>
        </w:rPr>
        <w:t xml:space="preserve">The allowances must be returned by </w:t>
      </w:r>
      <w:bookmarkStart w:id="3" w:name="_Hlk142236090"/>
      <w:r w:rsidR="005B61F9">
        <w:fldChar w:fldCharType="begin"/>
      </w:r>
      <w:r w:rsidR="005B61F9">
        <w:instrText xml:space="preserve"> MERGEFIELD  ${(params.dateToBeReturned)!}  \* MERGEFORMAT </w:instrText>
      </w:r>
      <w:r w:rsidR="005B61F9">
        <w:fldChar w:fldCharType="separate"/>
      </w:r>
      <w:r w:rsidR="005B61F9">
        <w:rPr>
          <w:noProof/>
        </w:rPr>
        <w:t>«${(params.dateToBeReturned)!}»</w:t>
      </w:r>
      <w:r w:rsidR="005B61F9">
        <w:fldChar w:fldCharType="end"/>
      </w:r>
      <w:bookmarkEnd w:id="3"/>
      <w:r w:rsidRPr="00FC32D9">
        <w:rPr>
          <w:rFonts w:cs="Arial"/>
        </w:rPr>
        <w:t xml:space="preserve">. </w:t>
      </w:r>
    </w:p>
    <w:p w14:paraId="27FBBB99" w14:textId="77777777" w:rsidR="005B078B" w:rsidRPr="00FC32D9" w:rsidRDefault="005B078B" w:rsidP="005B078B">
      <w:pPr>
        <w:spacing w:before="0"/>
        <w:rPr>
          <w:rFonts w:cs="Arial"/>
        </w:rPr>
      </w:pPr>
    </w:p>
    <w:p w14:paraId="7F58B538" w14:textId="77777777" w:rsidR="005B078B" w:rsidRPr="00FC32D9" w:rsidRDefault="005B078B" w:rsidP="005B078B">
      <w:pPr>
        <w:autoSpaceDE w:val="0"/>
        <w:autoSpaceDN w:val="0"/>
        <w:adjustRightInd w:val="0"/>
        <w:spacing w:before="0"/>
        <w:rPr>
          <w:rFonts w:cs="Arial"/>
        </w:rPr>
      </w:pPr>
      <w:r w:rsidRPr="00FC32D9">
        <w:rPr>
          <w:rFonts w:cs="Arial"/>
          <w:color w:val="000000"/>
        </w:rPr>
        <w:t>If you wish to authorise the Registry to return the allowances on your behalf you should email them</w:t>
      </w:r>
      <w:r>
        <w:rPr>
          <w:rFonts w:cs="Arial"/>
          <w:color w:val="000000"/>
        </w:rPr>
        <w:t xml:space="preserve"> </w:t>
      </w:r>
      <w:r w:rsidRPr="00FC32D9">
        <w:rPr>
          <w:rFonts w:cs="Arial"/>
          <w:color w:val="000000"/>
        </w:rPr>
        <w:t xml:space="preserve">at </w:t>
      </w:r>
      <w:hyperlink r:id="rId7" w:history="1">
        <w:r w:rsidRPr="00FC32D9">
          <w:rPr>
            <w:rStyle w:val="Hyperlink"/>
            <w:rFonts w:cs="Arial"/>
          </w:rPr>
          <w:t>etregistryhelp@environment-agency.gov.uk</w:t>
        </w:r>
      </w:hyperlink>
      <w:r w:rsidRPr="00FC32D9">
        <w:rPr>
          <w:rFonts w:cs="Arial"/>
          <w:color w:val="0000FF"/>
        </w:rPr>
        <w:t xml:space="preserve"> </w:t>
      </w:r>
      <w:r w:rsidRPr="00FC32D9">
        <w:rPr>
          <w:rFonts w:cs="Arial"/>
          <w:color w:val="000000"/>
        </w:rPr>
        <w:t xml:space="preserve">and attach a copy of this Notice. </w:t>
      </w:r>
      <w:r>
        <w:rPr>
          <w:rFonts w:cs="Arial"/>
          <w:color w:val="000000"/>
        </w:rPr>
        <w:t xml:space="preserve">The process will take approximately two weeks, so you should authorise the Registry as soon as possible to return the allowances. </w:t>
      </w:r>
      <w:r w:rsidRPr="00FC32D9">
        <w:rPr>
          <w:rFonts w:cs="Arial"/>
          <w:color w:val="000000"/>
        </w:rPr>
        <w:t>Alternatively, if you</w:t>
      </w:r>
      <w:r>
        <w:rPr>
          <w:rFonts w:cs="Arial"/>
          <w:color w:val="000000"/>
        </w:rPr>
        <w:t xml:space="preserve"> </w:t>
      </w:r>
      <w:r w:rsidRPr="00FC32D9">
        <w:rPr>
          <w:rFonts w:cs="Arial"/>
          <w:color w:val="000000"/>
        </w:rPr>
        <w:t>prefer to return the allowances to the Registry yourself, you should contact the Registry Helpdesk for</w:t>
      </w:r>
      <w:r>
        <w:rPr>
          <w:rFonts w:cs="Arial"/>
          <w:color w:val="000000"/>
        </w:rPr>
        <w:t xml:space="preserve"> </w:t>
      </w:r>
      <w:r w:rsidRPr="00FC32D9">
        <w:rPr>
          <w:rFonts w:cs="Arial"/>
          <w:color w:val="000000"/>
        </w:rPr>
        <w:t>instructions.</w:t>
      </w:r>
    </w:p>
    <w:p w14:paraId="606BFAB0" w14:textId="77777777" w:rsidR="00257A8A" w:rsidRDefault="00257A8A"/>
    <w:sectPr w:rsidR="00257A8A" w:rsidSect="00FD03A2">
      <w:footerReference w:type="even" r:id="rId8"/>
      <w:footerReference w:type="default" r:id="rId9"/>
      <w:pgSz w:w="11907" w:h="16840" w:code="9"/>
      <w:pgMar w:top="1440" w:right="1077" w:bottom="1440" w:left="1077" w:header="289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ABBC" w14:textId="77777777" w:rsidR="00E4403E" w:rsidRDefault="00E4403E">
      <w:pPr>
        <w:spacing w:before="0"/>
      </w:pPr>
      <w:r>
        <w:separator/>
      </w:r>
    </w:p>
  </w:endnote>
  <w:endnote w:type="continuationSeparator" w:id="0">
    <w:p w14:paraId="03E9C8E4" w14:textId="77777777" w:rsidR="00E4403E" w:rsidRDefault="00E440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20FB" w14:textId="77777777" w:rsidR="006B03E0" w:rsidRDefault="00E440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E835" w14:textId="77777777" w:rsidR="006B03E0" w:rsidRDefault="00E4403E" w:rsidP="00DB3D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DF70" w14:textId="77777777" w:rsidR="00E4403E" w:rsidRDefault="00E4403E">
      <w:pPr>
        <w:spacing w:before="0"/>
      </w:pPr>
      <w:r>
        <w:separator/>
      </w:r>
    </w:p>
  </w:footnote>
  <w:footnote w:type="continuationSeparator" w:id="0">
    <w:p w14:paraId="5AEBFFC8" w14:textId="77777777" w:rsidR="00E4403E" w:rsidRDefault="00E4403E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B"/>
    <w:rsid w:val="000A547F"/>
    <w:rsid w:val="00103E65"/>
    <w:rsid w:val="00151C37"/>
    <w:rsid w:val="001637DD"/>
    <w:rsid w:val="001B5EDD"/>
    <w:rsid w:val="00257A8A"/>
    <w:rsid w:val="003C244B"/>
    <w:rsid w:val="003C5C51"/>
    <w:rsid w:val="005B078B"/>
    <w:rsid w:val="005B61F9"/>
    <w:rsid w:val="005D054B"/>
    <w:rsid w:val="00615D1B"/>
    <w:rsid w:val="006D6D50"/>
    <w:rsid w:val="00847082"/>
    <w:rsid w:val="00997FE7"/>
    <w:rsid w:val="00AB135E"/>
    <w:rsid w:val="00E4403E"/>
    <w:rsid w:val="00EC1F0D"/>
    <w:rsid w:val="00F400EE"/>
    <w:rsid w:val="00F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8D4B"/>
  <w15:chartTrackingRefBased/>
  <w15:docId w15:val="{2EE0D11F-29B5-406B-8373-0D12C533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7F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B078B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078B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5B07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B078B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5B078B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styleId="Hyperlink">
    <w:name w:val="Hyperlink"/>
    <w:rsid w:val="005B07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tregistryhelp@environment-agency.gov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SOUMAKIS Vasileios</cp:lastModifiedBy>
  <cp:revision>10</cp:revision>
  <dcterms:created xsi:type="dcterms:W3CDTF">2023-08-05T16:46:00Z</dcterms:created>
  <dcterms:modified xsi:type="dcterms:W3CDTF">2023-08-28T13:38:00Z</dcterms:modified>
</cp:coreProperties>
</file>