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DA5E60" w:rsidRPr="00690954" w14:paraId="1EA78A9F" w14:textId="77777777" w:rsidTr="00E10AE2">
        <w:tblPrEx>
          <w:tblCellMar>
            <w:top w:w="0" w:type="dxa"/>
            <w:bottom w:w="0" w:type="dxa"/>
          </w:tblCellMar>
        </w:tblPrEx>
        <w:trPr>
          <w:cantSplit/>
        </w:trPr>
        <w:tc>
          <w:tcPr>
            <w:tcW w:w="5815" w:type="dxa"/>
          </w:tcPr>
          <w:p w14:paraId="7ED4148E" w14:textId="77777777" w:rsidR="00DA5E60" w:rsidRPr="00200889" w:rsidRDefault="00DA5E60" w:rsidP="00E10AE2"/>
        </w:tc>
        <w:tc>
          <w:tcPr>
            <w:tcW w:w="3630" w:type="dxa"/>
          </w:tcPr>
          <w:p w14:paraId="29257FE0" w14:textId="1432F584" w:rsidR="00DA5E60" w:rsidRPr="00690954" w:rsidRDefault="00DA5E60" w:rsidP="00E10AE2">
            <w:bookmarkStart w:id="0" w:name="competentAuthorityLogo"/>
            <w:r>
              <w:rPr>
                <w:noProof/>
              </w:rPr>
              <w:drawing>
                <wp:inline distT="0" distB="0" distL="0" distR="0" wp14:anchorId="73610F70" wp14:editId="37BE2234">
                  <wp:extent cx="2158365" cy="2316480"/>
                  <wp:effectExtent l="0" t="0" r="0" b="7620"/>
                  <wp:docPr id="91601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316480"/>
                          </a:xfrm>
                          <a:prstGeom prst="rect">
                            <a:avLst/>
                          </a:prstGeom>
                          <a:noFill/>
                        </pic:spPr>
                      </pic:pic>
                    </a:graphicData>
                  </a:graphic>
                </wp:inline>
              </w:drawing>
            </w:r>
            <w:bookmarkEnd w:id="0"/>
          </w:p>
        </w:tc>
      </w:tr>
    </w:tbl>
    <w:p w14:paraId="1C36F64F" w14:textId="383C6AE8" w:rsidR="00DA5E60" w:rsidRPr="00F473F7" w:rsidRDefault="00DA5E60" w:rsidP="00DA5E60">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0393F0F2" w14:textId="69F06316" w:rsidR="00DA5E60" w:rsidRPr="00DA5E60" w:rsidRDefault="00DA5E60" w:rsidP="00DA5E60">
      <w:pPr>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${(account.legalEntityName)!}  \* MERGEFORMAT </w:instrText>
      </w:r>
      <w:r>
        <w:rPr>
          <w:rStyle w:val="change"/>
          <w:rFonts w:cs="Arial"/>
          <w:color w:val="000000" w:themeColor="text1"/>
        </w:rPr>
        <w:fldChar w:fldCharType="separate"/>
      </w:r>
      <w:r>
        <w:rPr>
          <w:rStyle w:val="change"/>
          <w:rFonts w:cs="Arial"/>
          <w:noProof/>
          <w:color w:val="000000" w:themeColor="text1"/>
        </w:rPr>
        <w:t>«${(account.legalEntityName)!}»</w:t>
      </w:r>
      <w:r>
        <w:rPr>
          <w:rStyle w:val="change"/>
          <w:rFonts w:cs="Arial"/>
          <w:color w:val="000000" w:themeColor="text1"/>
        </w:rPr>
        <w:fldChar w:fldCharType="end"/>
      </w:r>
    </w:p>
    <w:p w14:paraId="5D8F28E3" w14:textId="47980FEA" w:rsidR="00DA5E60" w:rsidRPr="00F473F7" w:rsidRDefault="00DA5E60" w:rsidP="00DA5E60">
      <w:pPr>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5820766A" w14:textId="1283A40A" w:rsidR="00DA5E60" w:rsidRPr="00F473F7" w:rsidRDefault="00DA5E60" w:rsidP="00DA5E60">
      <w:pPr>
        <w:autoSpaceDE w:val="0"/>
        <w:autoSpaceDN w:val="0"/>
        <w:adjustRightInd w:val="0"/>
        <w:rPr>
          <w:rFonts w:cs="Arial"/>
        </w:rPr>
      </w:pPr>
      <w:r w:rsidRPr="00F473F7">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706B9433" w14:textId="77777777" w:rsidR="00DA5E60" w:rsidRPr="00F473F7" w:rsidRDefault="00DA5E60" w:rsidP="00DA5E60">
      <w:pPr>
        <w:rPr>
          <w:rFonts w:cs="Arial"/>
        </w:rPr>
      </w:pPr>
      <w:r w:rsidRPr="00F473F7">
        <w:rPr>
          <w:rFonts w:cs="Arial"/>
        </w:rPr>
        <w:t>Dear Sir / Madam</w:t>
      </w:r>
      <w:r w:rsidRPr="00F473F7" w:rsidDel="00AB6BB7">
        <w:rPr>
          <w:rFonts w:cs="Arial"/>
        </w:rPr>
        <w:t xml:space="preserve"> </w:t>
      </w:r>
    </w:p>
    <w:p w14:paraId="6A21649B" w14:textId="77777777" w:rsidR="00DA5E60" w:rsidRPr="00F473F7" w:rsidRDefault="00DA5E60" w:rsidP="00DA5E60">
      <w:pPr>
        <w:rPr>
          <w:rFonts w:cs="Arial"/>
          <w:b/>
        </w:rPr>
      </w:pPr>
      <w:r w:rsidRPr="00DF65E0">
        <w:rPr>
          <w:rFonts w:cs="Arial"/>
          <w:b/>
        </w:rPr>
        <w:t>THE GREENHOUSE GAS EMISSIONS TRADING SCHEME ORDER (SI</w:t>
      </w:r>
      <w:r>
        <w:rPr>
          <w:rFonts w:cs="Arial"/>
          <w:b/>
        </w:rPr>
        <w:t xml:space="preserve"> </w:t>
      </w:r>
      <w:r w:rsidRPr="00DF65E0">
        <w:rPr>
          <w:rFonts w:cs="Arial"/>
          <w:b/>
        </w:rPr>
        <w:t>2020</w:t>
      </w:r>
      <w:r>
        <w:rPr>
          <w:rFonts w:cs="Arial"/>
          <w:b/>
        </w:rPr>
        <w:t>/</w:t>
      </w:r>
      <w:r w:rsidRPr="00DF65E0">
        <w:rPr>
          <w:rFonts w:cs="Arial"/>
          <w:b/>
        </w:rPr>
        <w:t>1265)</w:t>
      </w:r>
      <w:r>
        <w:rPr>
          <w:rFonts w:cs="Arial"/>
          <w:b/>
        </w:rPr>
        <w:t xml:space="preserve"> (the Order)</w:t>
      </w:r>
    </w:p>
    <w:p w14:paraId="1E1D86B9" w14:textId="0812CFDB" w:rsidR="00DA5E60" w:rsidRPr="00F473F7" w:rsidRDefault="00DA5E60" w:rsidP="00DA5E60">
      <w:pPr>
        <w:rPr>
          <w:rFonts w:cs="Arial"/>
        </w:rPr>
      </w:pPr>
      <w:r w:rsidRPr="00F473F7">
        <w:rPr>
          <w:rFonts w:cs="Arial"/>
          <w:b/>
        </w:rPr>
        <w:t>Permit reference:</w:t>
      </w:r>
      <w:r w:rsidRPr="00F473F7">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DC616B6" w14:textId="7C9DCCDA" w:rsidR="00DA5E60" w:rsidRPr="00F473F7" w:rsidRDefault="00DA5E60" w:rsidP="00DA5E60">
      <w:pPr>
        <w:rPr>
          <w:rFonts w:cs="Arial"/>
        </w:rPr>
      </w:pPr>
      <w:r w:rsidRPr="002E0BE2">
        <w:rPr>
          <w:rFonts w:cs="Arial"/>
          <w:b/>
        </w:rPr>
        <w:t xml:space="preserve">Issue of </w:t>
      </w:r>
      <w:r>
        <w:rPr>
          <w:rFonts w:cs="Arial"/>
          <w:b/>
        </w:rPr>
        <w:t>variation</w:t>
      </w:r>
      <w:r w:rsidRPr="002E0BE2">
        <w:rPr>
          <w:rFonts w:cs="Arial"/>
          <w:b/>
        </w:rPr>
        <w:t xml:space="preserve"> notice to:</w:t>
      </w:r>
      <w:r w:rsidRPr="002E0BE2">
        <w:rPr>
          <w:rFonts w:cs="Arial"/>
        </w:rPr>
        <w:t xml:space="preserve"> </w:t>
      </w:r>
      <w:r>
        <w:rPr>
          <w:rFonts w:cs="Arial"/>
        </w:rPr>
        <w:fldChar w:fldCharType="begin"/>
      </w:r>
      <w:r>
        <w:rPr>
          <w:rFonts w:cs="Arial"/>
        </w:rPr>
        <w:instrText xml:space="preserve"> MERGEFIELD  ${(account.name)!}  \* MERGEFORMAT </w:instrText>
      </w:r>
      <w:r>
        <w:rPr>
          <w:rFonts w:cs="Arial"/>
        </w:rPr>
        <w:fldChar w:fldCharType="separate"/>
      </w:r>
      <w:r>
        <w:rPr>
          <w:rFonts w:cs="Arial"/>
          <w:noProof/>
        </w:rPr>
        <w:t>«${(account.name)!}»</w:t>
      </w:r>
      <w:r>
        <w:rPr>
          <w:rFonts w:cs="Arial"/>
        </w:rPr>
        <w:fldChar w:fldCharType="end"/>
      </w:r>
    </w:p>
    <w:p w14:paraId="63622419" w14:textId="6F249ADA" w:rsidR="00DA5E60" w:rsidRDefault="00DA5E60" w:rsidP="00DA5E60">
      <w:pPr>
        <w:ind w:right="144"/>
        <w:rPr>
          <w:rFonts w:cs="Arial"/>
        </w:rPr>
      </w:pP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F473F7">
        <w:t xml:space="preserve"> </w:t>
      </w:r>
      <w:r w:rsidRPr="00D11F16">
        <w:rPr>
          <w:rFonts w:cs="Arial"/>
        </w:rPr>
        <w:t xml:space="preserve">has varied </w:t>
      </w:r>
      <w:r>
        <w:rPr>
          <w:rFonts w:cs="Arial"/>
        </w:rPr>
        <w:t>your</w:t>
      </w:r>
      <w:r w:rsidRPr="00D11F16">
        <w:rPr>
          <w:rFonts w:cs="Arial"/>
        </w:rPr>
        <w:t xml:space="preserve"> permit in accordance with the </w:t>
      </w:r>
      <w:r>
        <w:rPr>
          <w:rFonts w:cs="Arial"/>
        </w:rPr>
        <w:t>Order</w:t>
      </w:r>
      <w:r w:rsidRPr="00D11F16">
        <w:rPr>
          <w:rFonts w:cs="Arial"/>
        </w:rPr>
        <w:t xml:space="preserve">. The </w:t>
      </w:r>
      <w:r>
        <w:rPr>
          <w:rFonts w:cs="Arial"/>
        </w:rPr>
        <w:t>V</w:t>
      </w:r>
      <w:r w:rsidRPr="00D11F16">
        <w:rPr>
          <w:rFonts w:cs="Arial"/>
        </w:rPr>
        <w:t xml:space="preserve">ariation </w:t>
      </w:r>
      <w:r>
        <w:rPr>
          <w:rFonts w:cs="Arial"/>
        </w:rPr>
        <w:t>N</w:t>
      </w:r>
      <w:r w:rsidRPr="00D11F16">
        <w:rPr>
          <w:rFonts w:cs="Arial"/>
        </w:rPr>
        <w:t>otice and a consolidated permit are attached to this letter.</w:t>
      </w:r>
    </w:p>
    <w:p w14:paraId="470FC725" w14:textId="77777777" w:rsidR="00DA5E60" w:rsidRDefault="00DA5E60" w:rsidP="00DA5E60">
      <w:pPr>
        <w:rPr>
          <w:rFonts w:ascii="Calibri" w:hAnsi="Calibri"/>
        </w:rPr>
      </w:pPr>
      <w:r>
        <w:t>Amendments to the Order came into force on 31 December 2020.  As a result of these amendments, we have varied your greenhouse gas emissions permit to include the ‘free allocation conditions’, your approved monitoring methodology plan (MMP) (if relevant) and other consequential amendments as set out in the Variation Notice.</w:t>
      </w:r>
    </w:p>
    <w:p w14:paraId="4357BE24" w14:textId="77777777" w:rsidR="00DA5E60" w:rsidRDefault="00DA5E60" w:rsidP="00DA5E60">
      <w:r>
        <w:t>The free allocation conditions apply only to ‘FA installations’ as defined in the Order. They apply to you only if you have applied for a free allocation of allowances for the period 2021-2025 and only from the point at which the UK ETS authority publishes the allocation table for the 2021-2025 period that includes an entry for your installation.  The UK ETS authority is the Secretary of State, the Scottish Ministers, the Welsh Ministers and the relevant Northern Ireland department acting jointly.</w:t>
      </w:r>
    </w:p>
    <w:p w14:paraId="182653E8" w14:textId="77777777" w:rsidR="00DA5E60" w:rsidRDefault="00DA5E60" w:rsidP="00DA5E60">
      <w:r>
        <w:t>Please note that, if you have applied for a free allocation of allowances, even though the free allocation conditions do not yet apply, you are required to monitor your activity levels in accordance with the Free Allocation Regulation (FAR) and your approved MMP and modify your MMP in accordance with the FAR.  This is because the FAR (as amended by the Order) continues to apply in the UK and contains requirements which apply to all operators of installations that have applied for a free allocation.</w:t>
      </w:r>
    </w:p>
    <w:p w14:paraId="116DA32E" w14:textId="77777777" w:rsidR="00DA5E60" w:rsidRDefault="00DA5E60" w:rsidP="00DA5E60">
      <w:r>
        <w:t>The inclusion of the free allocation conditions and approved MMP (if relevant) in your permit does not necessarily mean that your application for a free allocation of allowances will be determined as valid by the UK ETS authority.  This decision will be made by the UK ETS authority as soon as possible in 2021.</w:t>
      </w:r>
    </w:p>
    <w:p w14:paraId="3619E285" w14:textId="77777777" w:rsidR="00DA5E60" w:rsidRPr="00DA21D2" w:rsidRDefault="00DA5E60" w:rsidP="00DA5E60">
      <w:pPr>
        <w:ind w:right="144"/>
        <w:rPr>
          <w:rFonts w:cs="Arial"/>
          <w:strike/>
        </w:rPr>
      </w:pPr>
      <w:r w:rsidRPr="00D11F16">
        <w:rPr>
          <w:rFonts w:cs="Arial"/>
        </w:rPr>
        <w:lastRenderedPageBreak/>
        <w:t xml:space="preserve">The </w:t>
      </w:r>
      <w:r>
        <w:rPr>
          <w:rFonts w:cs="Arial"/>
        </w:rPr>
        <w:t>V</w:t>
      </w:r>
      <w:r w:rsidRPr="00D11F16">
        <w:rPr>
          <w:rFonts w:cs="Arial"/>
        </w:rPr>
        <w:t xml:space="preserve">ariation </w:t>
      </w:r>
      <w:r>
        <w:rPr>
          <w:rFonts w:cs="Arial"/>
        </w:rPr>
        <w:t>N</w:t>
      </w:r>
      <w:r w:rsidRPr="00D11F16">
        <w:rPr>
          <w:rFonts w:cs="Arial"/>
        </w:rPr>
        <w:t>otice and consolidated permit include conditions with which you must comply.</w:t>
      </w:r>
    </w:p>
    <w:p w14:paraId="59DBD216" w14:textId="75D14FD5" w:rsidR="00DA5E60" w:rsidRPr="00F473F7" w:rsidRDefault="00DA5E60" w:rsidP="00DA5E60">
      <w:r w:rsidRPr="00F473F7">
        <w:t xml:space="preserve">If you require any clarification of the above, please do not hesitate to contact a member of the Emissions Trading Team either directly or by e-mail to </w:t>
      </w:r>
      <w:r>
        <w:rPr>
          <w:rFonts w:cs="Arial"/>
        </w:rPr>
        <w:fldChar w:fldCharType="begin"/>
      </w:r>
      <w:r>
        <w:rPr>
          <w:rFonts w:cs="Arial"/>
        </w:rPr>
        <w:instrText xml:space="preserve"> MERGEFIELD  ${competentAuthority.email}  \* MERGEFORMAT </w:instrText>
      </w:r>
      <w:r>
        <w:rPr>
          <w:rFonts w:cs="Arial"/>
        </w:rPr>
        <w:fldChar w:fldCharType="separate"/>
      </w:r>
      <w:r>
        <w:rPr>
          <w:rFonts w:cs="Arial"/>
          <w:noProof/>
        </w:rPr>
        <w:t>«${competentAuthority.email}»</w:t>
      </w:r>
      <w:r>
        <w:rPr>
          <w:rFonts w:cs="Arial"/>
        </w:rPr>
        <w:fldChar w:fldCharType="end"/>
      </w:r>
      <w:r w:rsidRPr="00F473F7">
        <w:t>.</w:t>
      </w:r>
    </w:p>
    <w:p w14:paraId="6117724D" w14:textId="77777777" w:rsidR="00DA5E60" w:rsidRPr="00F473F7" w:rsidRDefault="00DA5E60" w:rsidP="00DA5E60"/>
    <w:p w14:paraId="5B88EBC8" w14:textId="77777777" w:rsidR="00DA5E60" w:rsidRPr="00F473F7" w:rsidRDefault="00DA5E60" w:rsidP="00DA5E60">
      <w:r w:rsidRPr="00F473F7">
        <w:t>Yours faithfully</w:t>
      </w:r>
    </w:p>
    <w:p w14:paraId="2ECA4281" w14:textId="6E1021F7" w:rsidR="00DA5E60" w:rsidRPr="00F473F7" w:rsidRDefault="00DA5E60" w:rsidP="00DA5E60">
      <w:pPr>
        <w:rPr>
          <w:rFonts w:cs="Arial"/>
        </w:rPr>
      </w:pPr>
      <w:bookmarkStart w:id="1" w:name="signature"/>
      <w:r>
        <w:rPr>
          <w:rFonts w:cs="Arial"/>
          <w:noProof/>
        </w:rPr>
        <w:drawing>
          <wp:inline distT="0" distB="0" distL="0" distR="0" wp14:anchorId="0F622A0E" wp14:editId="014FD0F6">
            <wp:extent cx="1438910" cy="1542415"/>
            <wp:effectExtent l="0" t="0" r="8890" b="635"/>
            <wp:docPr id="1223293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20662974" w14:textId="69CF51DF" w:rsidR="00DA5E60" w:rsidRPr="00F473F7" w:rsidRDefault="00DA5E60" w:rsidP="00DA5E60">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40E45F57" w14:textId="09694982" w:rsidR="00DA5E60" w:rsidRPr="00690954" w:rsidRDefault="00DA5E60" w:rsidP="00DA5E60">
      <w:pPr>
        <w:sectPr w:rsidR="00DA5E60" w:rsidRPr="00690954" w:rsidSect="00DA5E60">
          <w:endnotePr>
            <w:numFmt w:val="decimal"/>
          </w:endnotePr>
          <w:pgSz w:w="11906" w:h="16838"/>
          <w:pgMar w:top="1440" w:right="1080" w:bottom="1440" w:left="1080" w:header="142" w:footer="720" w:gutter="0"/>
          <w:cols w:space="720"/>
          <w:noEndnote/>
          <w:docGrid w:linePitch="272"/>
        </w:sect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DA5E60" w:rsidRPr="00690954" w14:paraId="257DD168" w14:textId="77777777" w:rsidTr="00DA5E60">
        <w:tblPrEx>
          <w:tblCellMar>
            <w:top w:w="0" w:type="dxa"/>
            <w:bottom w:w="0" w:type="dxa"/>
          </w:tblCellMar>
        </w:tblPrEx>
        <w:tc>
          <w:tcPr>
            <w:tcW w:w="5812" w:type="dxa"/>
            <w:shd w:val="clear" w:color="auto" w:fill="000000" w:themeFill="text1"/>
          </w:tcPr>
          <w:p w14:paraId="142A70B6" w14:textId="77777777" w:rsidR="00DA5E60" w:rsidRPr="00690954" w:rsidRDefault="00DA5E60" w:rsidP="00E10AE2">
            <w:pPr>
              <w:rPr>
                <w:rFonts w:ascii="Arial Black" w:hAnsi="Arial Black"/>
              </w:rPr>
            </w:pPr>
            <w:r w:rsidRPr="00DA5E60">
              <w:rPr>
                <w:color w:val="FFFFFF" w:themeColor="background1"/>
              </w:rPr>
              <w:lastRenderedPageBreak/>
              <w:br w:type="page"/>
            </w:r>
            <w:r w:rsidRPr="00DA5E60">
              <w:rPr>
                <w:rFonts w:cs="Arial"/>
                <w:color w:val="FFFFFF" w:themeColor="background1"/>
              </w:rPr>
              <w:br w:type="page"/>
            </w:r>
            <w:r w:rsidRPr="00DA5E60">
              <w:rPr>
                <w:rFonts w:cs="Arial"/>
                <w:color w:val="FFFFFF" w:themeColor="background1"/>
              </w:rPr>
              <w:br w:type="page"/>
            </w:r>
            <w:r w:rsidRPr="00DA5E60">
              <w:rPr>
                <w:color w:val="FFFFFF" w:themeColor="background1"/>
                <w:sz w:val="16"/>
              </w:rPr>
              <w:br w:type="page"/>
            </w:r>
            <w:r w:rsidRPr="00DA5E60">
              <w:rPr>
                <w:rFonts w:ascii="Arial Black" w:hAnsi="Arial Black"/>
                <w:color w:val="FFFFFF" w:themeColor="background1"/>
              </w:rPr>
              <w:t>Variation Notice</w:t>
            </w:r>
          </w:p>
        </w:tc>
        <w:tc>
          <w:tcPr>
            <w:tcW w:w="3686" w:type="dxa"/>
            <w:shd w:val="clear" w:color="auto" w:fill="auto"/>
          </w:tcPr>
          <w:p w14:paraId="3B32C35E" w14:textId="0260D0D3" w:rsidR="00DA5E60" w:rsidRPr="00690954" w:rsidRDefault="00DA5E60" w:rsidP="00E10AE2">
            <w:pPr>
              <w:rPr>
                <w:rFonts w:cs="Arial"/>
              </w:rPr>
            </w:pPr>
            <w:bookmarkStart w:id="2" w:name="competentAuthorityLogo2"/>
            <w:r>
              <w:rPr>
                <w:rFonts w:cs="Arial"/>
                <w:noProof/>
              </w:rPr>
              <w:drawing>
                <wp:inline distT="0" distB="0" distL="0" distR="0" wp14:anchorId="34A4C451" wp14:editId="3F783A49">
                  <wp:extent cx="2158365" cy="2316480"/>
                  <wp:effectExtent l="0" t="0" r="0" b="7620"/>
                  <wp:docPr id="1182574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316480"/>
                          </a:xfrm>
                          <a:prstGeom prst="rect">
                            <a:avLst/>
                          </a:prstGeom>
                          <a:noFill/>
                        </pic:spPr>
                      </pic:pic>
                    </a:graphicData>
                  </a:graphic>
                </wp:inline>
              </w:drawing>
            </w:r>
            <w:bookmarkEnd w:id="2"/>
          </w:p>
        </w:tc>
      </w:tr>
    </w:tbl>
    <w:p w14:paraId="66D7379B" w14:textId="77777777" w:rsidR="00DA5E60" w:rsidRPr="00DF65E0" w:rsidRDefault="00DA5E60" w:rsidP="00DA5E60">
      <w:r w:rsidRPr="00DF65E0">
        <w:t>The Greenhouse Gas Emissions Trading Scheme Order 2020 (SI 2020</w:t>
      </w:r>
      <w:r>
        <w:t>/</w:t>
      </w:r>
      <w:r w:rsidRPr="00DF65E0">
        <w:t>1265) (the Order)</w:t>
      </w:r>
    </w:p>
    <w:p w14:paraId="697D1151" w14:textId="77777777" w:rsidR="00DA5E60" w:rsidRPr="00DF65E0" w:rsidRDefault="00DA5E60" w:rsidP="00DA5E60">
      <w:pPr>
        <w:pStyle w:val="Heading1"/>
        <w:rPr>
          <w:b/>
        </w:rPr>
      </w:pPr>
      <w:r>
        <w:rPr>
          <w:b/>
        </w:rPr>
        <w:t>Variation</w:t>
      </w:r>
      <w:r w:rsidRPr="00DF65E0">
        <w:rPr>
          <w:b/>
        </w:rPr>
        <w:t xml:space="preserve"> Notice</w:t>
      </w:r>
    </w:p>
    <w:p w14:paraId="7E0E52B9" w14:textId="39627B4D" w:rsidR="00DA5E60" w:rsidRPr="00690954" w:rsidRDefault="00DA5E60" w:rsidP="00DA5E60">
      <w:pPr>
        <w:rPr>
          <w:rFonts w:cs="Arial"/>
        </w:rPr>
      </w:pPr>
      <w:r w:rsidRPr="00690954">
        <w:rPr>
          <w:rFonts w:cs="Arial"/>
          <w:b/>
        </w:rPr>
        <w:t xml:space="preserve">Permit </w:t>
      </w:r>
      <w:r>
        <w:rPr>
          <w:rFonts w:cs="Arial"/>
          <w:b/>
        </w:rPr>
        <w:t>reference</w:t>
      </w:r>
      <w:r w:rsidRPr="00690954">
        <w:rPr>
          <w:rFonts w:cs="Arial"/>
          <w:b/>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06887E8B" w14:textId="42203C02" w:rsidR="00DA5E60" w:rsidRPr="00DA5E60" w:rsidRDefault="00DA5E60" w:rsidP="00DA5E60">
      <w:pPr>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${competentAuthority.name}  \* MERGEFORMAT </w:instrText>
      </w:r>
      <w:r>
        <w:rPr>
          <w:rStyle w:val="change"/>
          <w:rFonts w:cs="Arial"/>
          <w:color w:val="000000" w:themeColor="text1"/>
        </w:rPr>
        <w:fldChar w:fldCharType="separate"/>
      </w:r>
      <w:r>
        <w:rPr>
          <w:rStyle w:val="change"/>
          <w:rFonts w:cs="Arial"/>
          <w:noProof/>
          <w:color w:val="000000" w:themeColor="text1"/>
        </w:rPr>
        <w:t>«${competentAuthority.name}»</w:t>
      </w:r>
      <w:r>
        <w:rPr>
          <w:rStyle w:val="change"/>
          <w:rFonts w:cs="Arial"/>
          <w:color w:val="000000" w:themeColor="text1"/>
        </w:rPr>
        <w:fldChar w:fldCharType="end"/>
      </w:r>
      <w:r w:rsidRPr="00DA5E60">
        <w:rPr>
          <w:rStyle w:val="change"/>
          <w:rFonts w:cs="Arial"/>
          <w:color w:val="000000" w:themeColor="text1"/>
        </w:rPr>
        <w:t xml:space="preserve"> </w:t>
      </w:r>
      <w:r w:rsidRPr="00DA5E60">
        <w:rPr>
          <w:rFonts w:cs="Arial"/>
          <w:color w:val="000000" w:themeColor="text1"/>
        </w:rPr>
        <w:t>in exercise of its powers under Schedule 6, paragraph 6 to the Order</w:t>
      </w:r>
      <w:r w:rsidRPr="00DA5E60">
        <w:rPr>
          <w:color w:val="000000" w:themeColor="text1"/>
        </w:rPr>
        <w:t xml:space="preserve"> hereby varies the permit held by you</w:t>
      </w:r>
    </w:p>
    <w:p w14:paraId="3D6B4D5F" w14:textId="1CF854AA" w:rsidR="00DA5E60" w:rsidRPr="00DA5E60" w:rsidRDefault="00DA5E60" w:rsidP="00DA5E60">
      <w:pPr>
        <w:rPr>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${(account.legalEntityName)!}  \* MERGEFORMAT </w:instrText>
      </w:r>
      <w:r>
        <w:rPr>
          <w:rStyle w:val="change"/>
          <w:rFonts w:cs="Arial"/>
          <w:color w:val="000000" w:themeColor="text1"/>
        </w:rPr>
        <w:fldChar w:fldCharType="separate"/>
      </w:r>
      <w:r>
        <w:rPr>
          <w:rStyle w:val="change"/>
          <w:rFonts w:cs="Arial"/>
          <w:noProof/>
          <w:color w:val="000000" w:themeColor="text1"/>
        </w:rPr>
        <w:t>«${(account.legalEntityName)!}»</w:t>
      </w:r>
      <w:r>
        <w:rPr>
          <w:rStyle w:val="change"/>
          <w:rFonts w:cs="Arial"/>
          <w:color w:val="000000" w:themeColor="text1"/>
        </w:rPr>
        <w:fldChar w:fldCharType="end"/>
      </w:r>
      <w:r w:rsidRPr="00DA5E60">
        <w:rPr>
          <w:rFonts w:cs="Arial"/>
          <w:color w:val="000000" w:themeColor="text1"/>
        </w:rPr>
        <w:t xml:space="preserve"> (the Operator),</w:t>
      </w:r>
    </w:p>
    <w:p w14:paraId="58841C2A" w14:textId="77777777" w:rsidR="00DA5E60" w:rsidRPr="00DA5E60" w:rsidRDefault="00DA5E60" w:rsidP="00DA5E60">
      <w:pPr>
        <w:spacing w:before="120" w:beforeAutospacing="0" w:after="0" w:afterAutospacing="0"/>
        <w:rPr>
          <w:rFonts w:cs="Arial"/>
          <w:color w:val="000000" w:themeColor="text1"/>
        </w:rPr>
      </w:pPr>
      <w:r w:rsidRPr="00DA5E60">
        <w:rPr>
          <w:rFonts w:cs="Arial"/>
          <w:color w:val="000000" w:themeColor="text1"/>
        </w:rPr>
        <w:t>whose (Registered) office address is</w:t>
      </w:r>
    </w:p>
    <w:p w14:paraId="5F394B40" w14:textId="4B5AE911" w:rsidR="00DA5E60" w:rsidRPr="00DA5E60" w:rsidRDefault="00DA5E60" w:rsidP="00DA5E60">
      <w:pPr>
        <w:spacing w:before="120" w:beforeAutospacing="0" w:after="0" w:afterAutospacing="0"/>
        <w:jc w:val="left"/>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${(account.legalEntityLocation)!}  \* MERGEFORMAT </w:instrText>
      </w:r>
      <w:r>
        <w:rPr>
          <w:rStyle w:val="change"/>
          <w:rFonts w:cs="Arial"/>
          <w:color w:val="000000" w:themeColor="text1"/>
        </w:rPr>
        <w:fldChar w:fldCharType="separate"/>
      </w:r>
      <w:r>
        <w:rPr>
          <w:rStyle w:val="change"/>
          <w:rFonts w:cs="Arial"/>
          <w:noProof/>
          <w:color w:val="000000" w:themeColor="text1"/>
        </w:rPr>
        <w:t>«${(account.legalEntityLocation)!}»</w:t>
      </w:r>
      <w:r>
        <w:rPr>
          <w:rStyle w:val="change"/>
          <w:rFonts w:cs="Arial"/>
          <w:color w:val="000000" w:themeColor="text1"/>
        </w:rPr>
        <w:fldChar w:fldCharType="end"/>
      </w:r>
    </w:p>
    <w:p w14:paraId="3408C7D8" w14:textId="77777777" w:rsidR="00DA5E60" w:rsidRPr="00DA5E60" w:rsidRDefault="00DA5E60" w:rsidP="00DA5E60">
      <w:pPr>
        <w:spacing w:before="120" w:beforeAutospacing="0" w:after="0" w:afterAutospacing="0"/>
        <w:rPr>
          <w:color w:val="000000" w:themeColor="text1"/>
        </w:rPr>
      </w:pPr>
      <w:r w:rsidRPr="00DA5E60">
        <w:rPr>
          <w:rFonts w:cs="Arial"/>
          <w:color w:val="000000" w:themeColor="text1"/>
        </w:rPr>
        <w:t>which relates to the operation of (part of) the Installation(s) at</w:t>
      </w:r>
    </w:p>
    <w:p w14:paraId="4FE76B08" w14:textId="556B7453" w:rsidR="00DA5E60" w:rsidRPr="00DA5E60" w:rsidRDefault="00DA5E60" w:rsidP="00DA5E60">
      <w:pPr>
        <w:spacing w:before="120" w:beforeAutospacing="0" w:after="0" w:afterAutospacing="0"/>
        <w:rPr>
          <w:rStyle w:val="change"/>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${(account.siteName)!}  \* MERGEFORMAT </w:instrText>
      </w:r>
      <w:r>
        <w:rPr>
          <w:rStyle w:val="change"/>
          <w:rFonts w:cs="Arial"/>
          <w:color w:val="000000" w:themeColor="text1"/>
        </w:rPr>
        <w:fldChar w:fldCharType="separate"/>
      </w:r>
      <w:r>
        <w:rPr>
          <w:rStyle w:val="change"/>
          <w:rFonts w:cs="Arial"/>
          <w:noProof/>
          <w:color w:val="000000" w:themeColor="text1"/>
        </w:rPr>
        <w:t>«${(account.siteName)!}»</w:t>
      </w:r>
      <w:r>
        <w:rPr>
          <w:rStyle w:val="change"/>
          <w:rFonts w:cs="Arial"/>
          <w:color w:val="000000" w:themeColor="text1"/>
        </w:rPr>
        <w:fldChar w:fldCharType="end"/>
      </w:r>
    </w:p>
    <w:p w14:paraId="7C01E945" w14:textId="61993124" w:rsidR="00DA5E60" w:rsidRPr="00DA5E60" w:rsidRDefault="00DA5E60" w:rsidP="00DA5E60">
      <w:pPr>
        <w:spacing w:before="120" w:beforeAutospacing="0" w:after="0" w:afterAutospacing="0"/>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${(account.location)!}  \* MERGEFORMAT </w:instrText>
      </w:r>
      <w:r>
        <w:rPr>
          <w:rStyle w:val="change"/>
          <w:rFonts w:cs="Arial"/>
          <w:color w:val="000000" w:themeColor="text1"/>
        </w:rPr>
        <w:fldChar w:fldCharType="separate"/>
      </w:r>
      <w:r>
        <w:rPr>
          <w:rStyle w:val="change"/>
          <w:rFonts w:cs="Arial"/>
          <w:noProof/>
          <w:color w:val="000000" w:themeColor="text1"/>
        </w:rPr>
        <w:t>«${(account.location)!}»</w:t>
      </w:r>
      <w:r>
        <w:rPr>
          <w:rStyle w:val="change"/>
          <w:rFonts w:cs="Arial"/>
          <w:color w:val="000000" w:themeColor="text1"/>
        </w:rPr>
        <w:fldChar w:fldCharType="end"/>
      </w:r>
    </w:p>
    <w:p w14:paraId="705EF453" w14:textId="77777777" w:rsidR="00DA5E60" w:rsidRDefault="00DA5E60" w:rsidP="00DA5E60">
      <w:pPr>
        <w:spacing w:before="120" w:beforeAutospacing="0" w:after="120" w:afterAutospacing="0"/>
      </w:pPr>
      <w:r w:rsidRPr="00EF4A8A">
        <w:t>to the extent set out in the Schedule to this Variation Notice, as incorporated into the attached consolidated permit.</w:t>
      </w:r>
    </w:p>
    <w:p w14:paraId="05D00287" w14:textId="77777777" w:rsidR="00DA5E60" w:rsidRDefault="00DA5E60" w:rsidP="00DA5E60">
      <w:r>
        <w:t>The notice takes effect on 1 January 2021.</w:t>
      </w:r>
    </w:p>
    <w:p w14:paraId="17FD9796" w14:textId="77777777" w:rsidR="00DA5E60" w:rsidRPr="001B1A02" w:rsidRDefault="00DA5E60" w:rsidP="00DA5E6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9"/>
        <w:gridCol w:w="6174"/>
      </w:tblGrid>
      <w:tr w:rsidR="00DA5E60" w:rsidRPr="00690954" w14:paraId="3209A073" w14:textId="77777777" w:rsidTr="00E10AE2">
        <w:tblPrEx>
          <w:tblCellMar>
            <w:top w:w="0" w:type="dxa"/>
            <w:bottom w:w="0" w:type="dxa"/>
          </w:tblCellMar>
        </w:tblPrEx>
        <w:trPr>
          <w:trHeight w:hRule="exact" w:val="404"/>
        </w:trPr>
        <w:tc>
          <w:tcPr>
            <w:tcW w:w="0" w:type="auto"/>
            <w:tcBorders>
              <w:top w:val="nil"/>
              <w:left w:val="nil"/>
              <w:right w:val="nil"/>
            </w:tcBorders>
          </w:tcPr>
          <w:p w14:paraId="76AD2536" w14:textId="77777777" w:rsidR="00DA5E60" w:rsidRPr="00690954" w:rsidRDefault="00DA5E60" w:rsidP="00E10AE2">
            <w:r w:rsidRPr="00690954">
              <w:t>Signed</w:t>
            </w:r>
          </w:p>
        </w:tc>
        <w:tc>
          <w:tcPr>
            <w:tcW w:w="0" w:type="auto"/>
            <w:tcBorders>
              <w:top w:val="nil"/>
              <w:left w:val="nil"/>
              <w:right w:val="nil"/>
            </w:tcBorders>
          </w:tcPr>
          <w:p w14:paraId="6B799302" w14:textId="77777777" w:rsidR="00DA5E60" w:rsidRPr="00690954" w:rsidRDefault="00DA5E60" w:rsidP="00E10AE2">
            <w:r w:rsidRPr="00690954">
              <w:t>Date</w:t>
            </w:r>
          </w:p>
        </w:tc>
      </w:tr>
      <w:tr w:rsidR="00DA5E60" w:rsidRPr="00690954" w14:paraId="6EDEA46B" w14:textId="77777777" w:rsidTr="00E10AE2">
        <w:tblPrEx>
          <w:tblCellMar>
            <w:top w:w="0" w:type="dxa"/>
            <w:bottom w:w="0" w:type="dxa"/>
          </w:tblCellMar>
        </w:tblPrEx>
        <w:tc>
          <w:tcPr>
            <w:tcW w:w="0" w:type="auto"/>
          </w:tcPr>
          <w:p w14:paraId="365D24D5" w14:textId="63E3E61E" w:rsidR="00DA5E60" w:rsidRPr="00690954" w:rsidRDefault="00DA5E60" w:rsidP="00E10AE2">
            <w:bookmarkStart w:id="3" w:name="signature2"/>
            <w:r>
              <w:rPr>
                <w:noProof/>
              </w:rPr>
              <w:drawing>
                <wp:inline distT="0" distB="0" distL="0" distR="0" wp14:anchorId="7B64DEE3" wp14:editId="16A570C5">
                  <wp:extent cx="1438910" cy="1542415"/>
                  <wp:effectExtent l="0" t="0" r="8890" b="635"/>
                  <wp:docPr id="2083842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3"/>
          </w:p>
        </w:tc>
        <w:tc>
          <w:tcPr>
            <w:tcW w:w="0" w:type="auto"/>
          </w:tcPr>
          <w:p w14:paraId="2E5ADD0A" w14:textId="0F028082" w:rsidR="00DA5E60" w:rsidRPr="00690954" w:rsidRDefault="00DA5E60" w:rsidP="00E10AE2">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E568A44" w14:textId="6FC87C1C" w:rsidR="00DA5E60" w:rsidRPr="00690954" w:rsidRDefault="00DA5E60" w:rsidP="00DA5E60">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903340A" w14:textId="587A19F7" w:rsidR="00DA5E60" w:rsidRPr="00690954" w:rsidRDefault="00DA5E60" w:rsidP="00DA5E60">
      <w:pPr>
        <w:pStyle w:val="Heading3nonum"/>
        <w:keepLines w:val="0"/>
        <w:spacing w:before="100" w:line="240" w:lineRule="auto"/>
        <w:outlineLvl w:val="9"/>
        <w:rPr>
          <w:rFonts w:cs="Arial"/>
          <w:snapToGrid w:val="0"/>
        </w:rPr>
      </w:pPr>
      <w:r w:rsidRPr="00690954">
        <w:rPr>
          <w:rFonts w:cs="Arial"/>
        </w:rPr>
        <w:lastRenderedPageBreak/>
        <w:t xml:space="preserve">Authorised to sign on behalf of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5AF0154F" w14:textId="77777777" w:rsidR="00DA5E60" w:rsidRPr="00251924" w:rsidRDefault="00DA5E60" w:rsidP="00DA5E60">
      <w:pPr>
        <w:pStyle w:val="Heading3nonum"/>
        <w:keepLines w:val="0"/>
        <w:spacing w:before="100" w:line="240" w:lineRule="auto"/>
        <w:outlineLvl w:val="9"/>
        <w:rPr>
          <w:b/>
        </w:rPr>
      </w:pPr>
      <w:r w:rsidRPr="00690954">
        <w:rPr>
          <w:rFonts w:cs="Arial"/>
          <w:snapToGrid w:val="0"/>
        </w:rPr>
        <w:br w:type="page"/>
      </w:r>
      <w:r w:rsidRPr="00251924">
        <w:rPr>
          <w:b/>
        </w:rPr>
        <w:lastRenderedPageBreak/>
        <w:t>Appealing this Notice</w:t>
      </w:r>
    </w:p>
    <w:p w14:paraId="476E61F3" w14:textId="77777777" w:rsidR="00DA5E60" w:rsidRPr="00251924" w:rsidRDefault="00DA5E60" w:rsidP="00DA5E60">
      <w:pPr>
        <w:widowControl w:val="0"/>
        <w:jc w:val="left"/>
        <w:rPr>
          <w:snapToGrid w:val="0"/>
          <w:lang w:val="en-US" w:eastAsia="en-US"/>
        </w:rPr>
      </w:pPr>
      <w:r w:rsidRPr="00251924">
        <w:rPr>
          <w:snapToGrid w:val="0"/>
          <w:lang w:val="en-US" w:eastAsia="en-US"/>
        </w:rPr>
        <w:t>Y</w:t>
      </w:r>
      <w:r w:rsidRPr="00251924">
        <w:rPr>
          <w:snapToGrid w:val="0"/>
          <w:color w:val="000000"/>
          <w:lang w:val="en-US" w:eastAsia="en-US"/>
        </w:rPr>
        <w:t xml:space="preserve">ou have a right of appeal against this notice </w:t>
      </w:r>
      <w:r w:rsidRPr="00251924">
        <w:rPr>
          <w:snapToGrid w:val="0"/>
          <w:color w:val="000000"/>
          <w:lang w:val="en-US"/>
        </w:rPr>
        <w:t>under Article 70 of the Order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70B0707B" w14:textId="77777777" w:rsidR="00DA5E60" w:rsidRPr="00251924" w:rsidRDefault="00DA5E60" w:rsidP="00DA5E60">
      <w:pPr>
        <w:widowControl w:val="0"/>
        <w:autoSpaceDE w:val="0"/>
        <w:autoSpaceDN w:val="0"/>
        <w:jc w:val="left"/>
        <w:rPr>
          <w:snapToGrid w:val="0"/>
          <w:color w:val="000000"/>
          <w:lang w:val="en-US"/>
        </w:rPr>
      </w:pPr>
      <w:r w:rsidRPr="00251924">
        <w:rPr>
          <w:snapToGrid w:val="0"/>
          <w:color w:val="000000"/>
          <w:lang w:val="en-US" w:eastAsia="en-US"/>
        </w:rPr>
        <w:t>Hard copy: General Regulatory Chamber, HMCTS, PO Box 9300, Leicester, LE1 8DJ</w:t>
      </w:r>
    </w:p>
    <w:p w14:paraId="3BD80A48" w14:textId="77777777" w:rsidR="00DA5E60" w:rsidRPr="00251924" w:rsidRDefault="00DA5E60" w:rsidP="00DA5E60">
      <w:pPr>
        <w:widowControl w:val="0"/>
        <w:autoSpaceDE w:val="0"/>
        <w:autoSpaceDN w:val="0"/>
        <w:jc w:val="left"/>
        <w:rPr>
          <w:snapToGrid w:val="0"/>
          <w:color w:val="000000"/>
          <w:lang w:val="en-US" w:eastAsia="en-US"/>
        </w:rPr>
      </w:pPr>
      <w:r w:rsidRPr="00251924">
        <w:rPr>
          <w:snapToGrid w:val="0"/>
          <w:color w:val="000000"/>
          <w:lang w:val="en-US" w:eastAsia="en-US"/>
        </w:rPr>
        <w:t xml:space="preserve">or email: </w:t>
      </w:r>
      <w:r w:rsidRPr="00251924">
        <w:rPr>
          <w:rFonts w:cs="Arial"/>
          <w:snapToGrid w:val="0"/>
          <w:color w:val="0000FF"/>
          <w:lang w:val="en-US" w:eastAsia="en-US"/>
        </w:rPr>
        <w:t>grc@justice.gov.uk</w:t>
      </w:r>
    </w:p>
    <w:p w14:paraId="6A0F3FB3" w14:textId="77777777" w:rsidR="00DA5E60" w:rsidRPr="00251924" w:rsidRDefault="00DA5E60" w:rsidP="00DA5E60">
      <w:pPr>
        <w:widowControl w:val="0"/>
        <w:autoSpaceDE w:val="0"/>
        <w:autoSpaceDN w:val="0"/>
        <w:jc w:val="left"/>
        <w:rPr>
          <w:snapToGrid w:val="0"/>
          <w:color w:val="000000"/>
          <w:lang w:val="en-US" w:eastAsia="en-US"/>
        </w:rPr>
      </w:pPr>
      <w:r w:rsidRPr="00251924">
        <w:rPr>
          <w:snapToGrid w:val="0"/>
          <w:color w:val="000000"/>
          <w:lang w:val="en-US" w:eastAsia="en-US"/>
        </w:rPr>
        <w:t>The notice of appeal must include:</w:t>
      </w:r>
    </w:p>
    <w:p w14:paraId="660BA42C" w14:textId="77777777" w:rsidR="00DA5E60" w:rsidRPr="00251924" w:rsidRDefault="00DA5E60" w:rsidP="00DA5E60">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name and address of the appellant;</w:t>
      </w:r>
    </w:p>
    <w:p w14:paraId="67A60645" w14:textId="77777777" w:rsidR="00DA5E60" w:rsidRPr="00251924" w:rsidRDefault="00DA5E60" w:rsidP="00DA5E60">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name and address of the appellant’s representative (if any);</w:t>
      </w:r>
    </w:p>
    <w:p w14:paraId="674B808C" w14:textId="77777777" w:rsidR="00DA5E60" w:rsidRPr="00251924" w:rsidRDefault="00DA5E60" w:rsidP="00DA5E60">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an address where documents for the appellant may be sent or delivered;</w:t>
      </w:r>
    </w:p>
    <w:p w14:paraId="568F61E2" w14:textId="77777777" w:rsidR="00DA5E60" w:rsidRPr="00251924" w:rsidRDefault="00DA5E60" w:rsidP="00DA5E60">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name and address of any respondent;</w:t>
      </w:r>
    </w:p>
    <w:p w14:paraId="55AB11F0" w14:textId="77777777" w:rsidR="00DA5E60" w:rsidRPr="00251924" w:rsidRDefault="00DA5E60" w:rsidP="00DA5E60">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details of the decision to which the appeals relates;</w:t>
      </w:r>
    </w:p>
    <w:p w14:paraId="1EDC012D" w14:textId="77777777" w:rsidR="00DA5E60" w:rsidRPr="00251924" w:rsidRDefault="00DA5E60" w:rsidP="00DA5E60">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result the appellant is seeking;</w:t>
      </w:r>
    </w:p>
    <w:p w14:paraId="7925DEC8" w14:textId="77777777" w:rsidR="00DA5E60" w:rsidRPr="00251924" w:rsidRDefault="00DA5E60" w:rsidP="00DA5E60">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grounds on which the appellant relies; and</w:t>
      </w:r>
    </w:p>
    <w:p w14:paraId="3CE08AC7" w14:textId="77777777" w:rsidR="00DA5E60" w:rsidRPr="00251924" w:rsidRDefault="00DA5E60" w:rsidP="00DA5E60">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a copy of any written record of that decision, and any statement of reasons for that decision that the appellant has or can reasonably obtain.</w:t>
      </w:r>
    </w:p>
    <w:p w14:paraId="0D38D255" w14:textId="77777777" w:rsidR="00DA5E60" w:rsidRPr="00251924" w:rsidRDefault="00DA5E60" w:rsidP="00DA5E60">
      <w:pPr>
        <w:widowControl w:val="0"/>
        <w:jc w:val="left"/>
        <w:rPr>
          <w:snapToGrid w:val="0"/>
          <w:color w:val="000000"/>
          <w:lang w:val="en-US" w:eastAsia="en-US"/>
        </w:rPr>
      </w:pPr>
      <w:r w:rsidRPr="00251924">
        <w:rPr>
          <w:snapToGrid w:val="0"/>
          <w:color w:val="000000"/>
          <w:lang w:val="en-US" w:eastAsia="en-US"/>
        </w:rPr>
        <w:t>You may withdraw an appeal by notifying the First-tier Tribunal at the above address.</w:t>
      </w:r>
    </w:p>
    <w:p w14:paraId="57E9B8C8" w14:textId="77777777" w:rsidR="00DA5E60" w:rsidRPr="00142D61" w:rsidRDefault="00DA5E60" w:rsidP="00DA5E60">
      <w:pPr>
        <w:pStyle w:val="Heading3nonum"/>
        <w:keepLines w:val="0"/>
        <w:spacing w:before="100" w:line="240" w:lineRule="auto"/>
        <w:outlineLvl w:val="9"/>
        <w:rPr>
          <w:color w:val="000000"/>
        </w:rPr>
      </w:pPr>
    </w:p>
    <w:p w14:paraId="3C62A972" w14:textId="77777777" w:rsidR="00DA5E60" w:rsidRDefault="00DA5E60" w:rsidP="00DA5E60">
      <w:pPr>
        <w:rPr>
          <w:rFonts w:ascii="ArialMT" w:hAnsi="ArialMT" w:cs="ArialMT"/>
          <w:color w:val="000000"/>
        </w:rPr>
      </w:pPr>
    </w:p>
    <w:p w14:paraId="300B5D9F" w14:textId="77777777" w:rsidR="00DA5E60" w:rsidRPr="00D11F16" w:rsidRDefault="00DA5E60" w:rsidP="00DA5E60">
      <w:pPr>
        <w:rPr>
          <w:rFonts w:cs="Arial"/>
          <w:b/>
        </w:rPr>
      </w:pPr>
      <w:r w:rsidRPr="00D11F16">
        <w:br w:type="page"/>
      </w:r>
      <w:r w:rsidRPr="00D11F16">
        <w:rPr>
          <w:rFonts w:cs="Arial"/>
          <w:b/>
        </w:rPr>
        <w:lastRenderedPageBreak/>
        <w:t>SCHEDULE</w:t>
      </w:r>
    </w:p>
    <w:p w14:paraId="3F13631F" w14:textId="77777777" w:rsidR="00DA5E60" w:rsidRDefault="00DA5E60" w:rsidP="00DA5E60">
      <w:pPr>
        <w:rPr>
          <w:rFonts w:cs="Arial"/>
          <w:sz w:val="22"/>
          <w:szCs w:val="22"/>
        </w:rPr>
      </w:pPr>
    </w:p>
    <w:p w14:paraId="65CE653D" w14:textId="77777777" w:rsidR="00DA5E60" w:rsidRPr="00BB527C" w:rsidRDefault="00DA5E60" w:rsidP="00DA5E60">
      <w:pPr>
        <w:rPr>
          <w:rFonts w:cs="Arial"/>
        </w:rPr>
      </w:pPr>
      <w:r w:rsidRPr="00BB527C">
        <w:rPr>
          <w:rFonts w:cs="Arial"/>
        </w:rPr>
        <w:t>The permit is varied as set out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7859"/>
      </w:tblGrid>
      <w:tr w:rsidR="00DA5E60" w:rsidRPr="00EB704A" w14:paraId="48D55C7C" w14:textId="77777777" w:rsidTr="00E10AE2">
        <w:tc>
          <w:tcPr>
            <w:tcW w:w="967" w:type="pct"/>
            <w:shd w:val="clear" w:color="auto" w:fill="auto"/>
          </w:tcPr>
          <w:p w14:paraId="3A0ED237" w14:textId="77777777" w:rsidR="00DA5E60" w:rsidRPr="00BB527C" w:rsidRDefault="00DA5E60" w:rsidP="00E10AE2">
            <w:pPr>
              <w:rPr>
                <w:rFonts w:cs="Arial"/>
                <w:b/>
              </w:rPr>
            </w:pPr>
            <w:r w:rsidRPr="00BB527C">
              <w:rPr>
                <w:rFonts w:cs="Arial"/>
                <w:b/>
              </w:rPr>
              <w:t>Item</w:t>
            </w:r>
          </w:p>
        </w:tc>
        <w:tc>
          <w:tcPr>
            <w:tcW w:w="4033" w:type="pct"/>
            <w:shd w:val="clear" w:color="auto" w:fill="auto"/>
          </w:tcPr>
          <w:p w14:paraId="65A367E3" w14:textId="77777777" w:rsidR="00DA5E60" w:rsidRPr="00BB527C" w:rsidRDefault="00DA5E60" w:rsidP="00E10AE2">
            <w:pPr>
              <w:rPr>
                <w:rFonts w:cs="Arial"/>
                <w:b/>
              </w:rPr>
            </w:pPr>
            <w:r w:rsidRPr="00BB527C">
              <w:rPr>
                <w:rFonts w:cs="Arial"/>
                <w:b/>
              </w:rPr>
              <w:t>Provisions varied</w:t>
            </w:r>
          </w:p>
        </w:tc>
      </w:tr>
      <w:tr w:rsidR="00DA5E60" w:rsidRPr="00EB704A" w14:paraId="4336CE08" w14:textId="77777777" w:rsidTr="00E10AE2">
        <w:tc>
          <w:tcPr>
            <w:tcW w:w="967" w:type="pct"/>
            <w:shd w:val="clear" w:color="auto" w:fill="auto"/>
          </w:tcPr>
          <w:p w14:paraId="3C49E5E7" w14:textId="77777777" w:rsidR="00DA5E60" w:rsidRPr="00BB527C" w:rsidRDefault="00DA5E60" w:rsidP="00E10AE2">
            <w:pPr>
              <w:rPr>
                <w:rFonts w:cs="Arial"/>
              </w:rPr>
            </w:pPr>
            <w:r w:rsidRPr="00BB527C">
              <w:t>1</w:t>
            </w:r>
          </w:p>
        </w:tc>
        <w:tc>
          <w:tcPr>
            <w:tcW w:w="4033" w:type="pct"/>
            <w:shd w:val="clear" w:color="auto" w:fill="auto"/>
          </w:tcPr>
          <w:p w14:paraId="7A05951F" w14:textId="77777777" w:rsidR="00DA5E60" w:rsidRPr="00BB527C" w:rsidRDefault="00DA5E60" w:rsidP="00E10AE2">
            <w:pPr>
              <w:rPr>
                <w:rFonts w:cs="Arial"/>
              </w:rPr>
            </w:pPr>
            <w:r>
              <w:rPr>
                <w:rFonts w:cs="Arial"/>
              </w:rPr>
              <w:t>Conditions 11 to 17 (the ‘f</w:t>
            </w:r>
            <w:r w:rsidRPr="00BB527C">
              <w:rPr>
                <w:rFonts w:cs="Arial"/>
              </w:rPr>
              <w:t>ree allocation conditions</w:t>
            </w:r>
            <w:r>
              <w:rPr>
                <w:rFonts w:cs="Arial"/>
              </w:rPr>
              <w:t>’) added to</w:t>
            </w:r>
            <w:r w:rsidRPr="00BB527C">
              <w:rPr>
                <w:rFonts w:cs="Arial"/>
              </w:rPr>
              <w:t xml:space="preserve"> Part 2 of the permit.</w:t>
            </w:r>
          </w:p>
        </w:tc>
      </w:tr>
      <w:tr w:rsidR="00DA5E60" w:rsidRPr="00EB704A" w14:paraId="667CB867" w14:textId="77777777" w:rsidTr="00E10AE2">
        <w:tc>
          <w:tcPr>
            <w:tcW w:w="967" w:type="pct"/>
            <w:shd w:val="clear" w:color="auto" w:fill="auto"/>
          </w:tcPr>
          <w:p w14:paraId="288AE7D8" w14:textId="77777777" w:rsidR="00DA5E60" w:rsidRPr="00BB527C" w:rsidRDefault="00DA5E60" w:rsidP="00E10AE2">
            <w:r w:rsidRPr="00BB527C">
              <w:t>2</w:t>
            </w:r>
          </w:p>
        </w:tc>
        <w:tc>
          <w:tcPr>
            <w:tcW w:w="4033" w:type="pct"/>
            <w:shd w:val="clear" w:color="auto" w:fill="auto"/>
          </w:tcPr>
          <w:p w14:paraId="73ED0243" w14:textId="77777777" w:rsidR="00DA5E60" w:rsidRPr="00BB527C" w:rsidRDefault="00DA5E60" w:rsidP="00E10AE2">
            <w:pPr>
              <w:rPr>
                <w:rFonts w:cs="Arial"/>
              </w:rPr>
            </w:pPr>
            <w:r>
              <w:rPr>
                <w:rFonts w:cs="Arial"/>
              </w:rPr>
              <w:t>D</w:t>
            </w:r>
            <w:r w:rsidRPr="00BB527C">
              <w:rPr>
                <w:rFonts w:cs="Arial"/>
              </w:rPr>
              <w:t xml:space="preserve">efinitions of ‘Activity Level Changes Regulation’, ‘ceased operation’, ‘FA installation’, ‘Free Allocation Regulation’, ‘monitoring methodology plan’ and ‘sub-installation’ </w:t>
            </w:r>
            <w:r>
              <w:rPr>
                <w:rFonts w:cs="Arial"/>
              </w:rPr>
              <w:t>added to</w:t>
            </w:r>
            <w:r w:rsidRPr="00BB527C">
              <w:rPr>
                <w:rFonts w:cs="Arial"/>
              </w:rPr>
              <w:t xml:space="preserve"> Part 3 of the permit.</w:t>
            </w:r>
          </w:p>
        </w:tc>
      </w:tr>
      <w:tr w:rsidR="00DA5E60" w:rsidRPr="00BB527C" w14:paraId="2AB6535C" w14:textId="77777777" w:rsidTr="00E10AE2">
        <w:tc>
          <w:tcPr>
            <w:tcW w:w="967" w:type="pct"/>
            <w:shd w:val="clear" w:color="auto" w:fill="auto"/>
          </w:tcPr>
          <w:p w14:paraId="59BB2F31" w14:textId="77777777" w:rsidR="00DA5E60" w:rsidRPr="00BB527C" w:rsidRDefault="00DA5E60" w:rsidP="00E10AE2">
            <w:r w:rsidRPr="00BB527C">
              <w:t>3</w:t>
            </w:r>
          </w:p>
        </w:tc>
        <w:tc>
          <w:tcPr>
            <w:tcW w:w="4033" w:type="pct"/>
            <w:shd w:val="clear" w:color="auto" w:fill="auto"/>
          </w:tcPr>
          <w:p w14:paraId="7D0E5A97" w14:textId="77777777" w:rsidR="00DA5E60" w:rsidRPr="00BB527C" w:rsidRDefault="00DA5E60" w:rsidP="00E10AE2">
            <w:pPr>
              <w:rPr>
                <w:rFonts w:cs="Arial"/>
              </w:rPr>
            </w:pPr>
            <w:r>
              <w:rPr>
                <w:rFonts w:cs="Arial"/>
              </w:rPr>
              <w:t>D</w:t>
            </w:r>
            <w:r w:rsidRPr="00BB527C">
              <w:rPr>
                <w:rFonts w:cs="Arial"/>
              </w:rPr>
              <w:t xml:space="preserve">efinitions of </w:t>
            </w:r>
            <w:r>
              <w:rPr>
                <w:rFonts w:cs="Arial"/>
              </w:rPr>
              <w:t>‘Monitoring and Reporting Regulation</w:t>
            </w:r>
            <w:r w:rsidRPr="00BB527C">
              <w:rPr>
                <w:rFonts w:cs="Arial"/>
              </w:rPr>
              <w:t>‘</w:t>
            </w:r>
            <w:r>
              <w:rPr>
                <w:rFonts w:cs="Arial"/>
              </w:rPr>
              <w:t>, ‘</w:t>
            </w:r>
            <w:r w:rsidRPr="00BB527C">
              <w:rPr>
                <w:rFonts w:cs="Arial"/>
              </w:rPr>
              <w:t xml:space="preserve">surrender’ and ‘Verification Regulation’ </w:t>
            </w:r>
            <w:r>
              <w:rPr>
                <w:rFonts w:cs="Arial"/>
              </w:rPr>
              <w:t xml:space="preserve">substituted </w:t>
            </w:r>
            <w:r w:rsidRPr="00BB527C">
              <w:rPr>
                <w:rFonts w:cs="Arial"/>
              </w:rPr>
              <w:t>in Part 3 of the permit.</w:t>
            </w:r>
          </w:p>
        </w:tc>
      </w:tr>
      <w:tr w:rsidR="00DA5E60" w:rsidRPr="00BB527C" w14:paraId="41753D98" w14:textId="77777777" w:rsidTr="00E10AE2">
        <w:tc>
          <w:tcPr>
            <w:tcW w:w="967" w:type="pct"/>
            <w:shd w:val="clear" w:color="auto" w:fill="auto"/>
          </w:tcPr>
          <w:p w14:paraId="2FA8B7AE" w14:textId="77777777" w:rsidR="00DA5E60" w:rsidRPr="00BB527C" w:rsidRDefault="00DA5E60" w:rsidP="00E10AE2">
            <w:r>
              <w:t>4</w:t>
            </w:r>
          </w:p>
        </w:tc>
        <w:tc>
          <w:tcPr>
            <w:tcW w:w="4033" w:type="pct"/>
            <w:shd w:val="clear" w:color="auto" w:fill="auto"/>
          </w:tcPr>
          <w:p w14:paraId="769B5E15" w14:textId="77777777" w:rsidR="00DA5E60" w:rsidRDefault="00DA5E60" w:rsidP="00E10AE2">
            <w:pPr>
              <w:rPr>
                <w:rFonts w:cs="Arial"/>
              </w:rPr>
            </w:pPr>
            <w:r>
              <w:rPr>
                <w:rFonts w:cs="Arial"/>
              </w:rPr>
              <w:t>Changes in operation section of the monitoring plan deleted.</w:t>
            </w:r>
          </w:p>
        </w:tc>
      </w:tr>
      <w:tr w:rsidR="00DA5E60" w:rsidRPr="00BB527C" w14:paraId="38E80220" w14:textId="77777777" w:rsidTr="00E10AE2">
        <w:tc>
          <w:tcPr>
            <w:tcW w:w="967" w:type="pct"/>
            <w:shd w:val="clear" w:color="auto" w:fill="auto"/>
          </w:tcPr>
          <w:p w14:paraId="49C8D4B3" w14:textId="77777777" w:rsidR="00DA5E60" w:rsidRPr="00BB527C" w:rsidRDefault="00DA5E60" w:rsidP="00E10AE2">
            <w:r>
              <w:t>5</w:t>
            </w:r>
          </w:p>
        </w:tc>
        <w:tc>
          <w:tcPr>
            <w:tcW w:w="4033" w:type="pct"/>
            <w:shd w:val="clear" w:color="auto" w:fill="auto"/>
          </w:tcPr>
          <w:p w14:paraId="3894A0C2" w14:textId="77777777" w:rsidR="00DA5E60" w:rsidRPr="00BB527C" w:rsidDel="00BB527C" w:rsidRDefault="00DA5E60" w:rsidP="00E10AE2">
            <w:pPr>
              <w:rPr>
                <w:rFonts w:cs="Arial"/>
              </w:rPr>
            </w:pPr>
            <w:r>
              <w:rPr>
                <w:rFonts w:cs="Arial"/>
              </w:rPr>
              <w:t xml:space="preserve">A monitoring methodology plan (if such a </w:t>
            </w:r>
            <w:r w:rsidRPr="00136EE9">
              <w:rPr>
                <w:rFonts w:cs="Arial"/>
              </w:rPr>
              <w:t xml:space="preserve">plan has been approved in relation to </w:t>
            </w:r>
            <w:r>
              <w:rPr>
                <w:rFonts w:cs="Arial"/>
              </w:rPr>
              <w:t>your</w:t>
            </w:r>
            <w:r w:rsidRPr="00136EE9">
              <w:rPr>
                <w:rFonts w:cs="Arial"/>
              </w:rPr>
              <w:t xml:space="preserve"> installation under Article 8 of the Free Allocation Regulation</w:t>
            </w:r>
            <w:r>
              <w:rPr>
                <w:rFonts w:cs="Arial"/>
              </w:rPr>
              <w:t>) added as Appendix 2 to the permit.</w:t>
            </w:r>
          </w:p>
        </w:tc>
      </w:tr>
    </w:tbl>
    <w:p w14:paraId="37A662B0" w14:textId="77777777" w:rsidR="00DA5E60" w:rsidRPr="00BB527C" w:rsidRDefault="00DA5E60" w:rsidP="00DA5E60">
      <w:pPr>
        <w:rPr>
          <w:rFonts w:cs="Arial"/>
        </w:rPr>
      </w:pPr>
      <w:r w:rsidRPr="00BB527C">
        <w:rPr>
          <w:rFonts w:cs="Arial"/>
        </w:rPr>
        <w:t>The variations are incorporated into a consolidated version of the permit attached to this notice.</w:t>
      </w:r>
    </w:p>
    <w:p w14:paraId="0524C458" w14:textId="77777777" w:rsidR="00DA5E60" w:rsidRDefault="00DA5E60" w:rsidP="00DA5E60"/>
    <w:p w14:paraId="6E8D259A" w14:textId="77777777" w:rsidR="00DA5E60" w:rsidRPr="00690954" w:rsidRDefault="00DA5E60" w:rsidP="00DA5E60"/>
    <w:p w14:paraId="37E889A5" w14:textId="77777777" w:rsidR="00DA5E60" w:rsidRPr="00200889" w:rsidRDefault="00DA5E60" w:rsidP="00DA5E60">
      <w:r w:rsidRPr="00200889">
        <w:t xml:space="preserve"> </w:t>
      </w:r>
    </w:p>
    <w:p w14:paraId="6EF54CCA" w14:textId="77777777" w:rsidR="00DA5E60" w:rsidRPr="00842907" w:rsidRDefault="00DA5E60" w:rsidP="00DA5E60">
      <w:pPr>
        <w:pStyle w:val="Heading3nonum"/>
        <w:keepLines w:val="0"/>
        <w:spacing w:before="100" w:line="240" w:lineRule="auto"/>
        <w:outlineLvl w:val="9"/>
      </w:pPr>
    </w:p>
    <w:p w14:paraId="60F1164C" w14:textId="77777777" w:rsidR="001F1B3A" w:rsidRDefault="001F1B3A"/>
    <w:sectPr w:rsidR="001F1B3A" w:rsidSect="006847E6">
      <w:footerReference w:type="even" r:id="rId7"/>
      <w:footerReference w:type="default" r:id="rId8"/>
      <w:pgSz w:w="11907" w:h="16840" w:code="9"/>
      <w:pgMar w:top="1440" w:right="1077" w:bottom="1258" w:left="1077" w:header="289" w:footer="289"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D705" w14:textId="77777777" w:rsidR="008B4B1C" w:rsidRDefault="00000000"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D6CF" w14:textId="77777777" w:rsidR="008B4B1C" w:rsidRDefault="00000000" w:rsidP="00274A4C">
    <w:pPr>
      <w:pStyle w:val="Footer"/>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15222755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34"/>
    <w:rsid w:val="001F1B3A"/>
    <w:rsid w:val="00DA5E60"/>
    <w:rsid w:val="00F1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43F"/>
  <w15:chartTrackingRefBased/>
  <w15:docId w15:val="{FE46A918-9EA1-47F0-ADFD-17C7AA23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E60"/>
    <w:pPr>
      <w:spacing w:before="100" w:beforeAutospacing="1" w:after="100" w:afterAutospacing="1" w:line="240" w:lineRule="auto"/>
      <w:jc w:val="both"/>
    </w:pPr>
    <w:rPr>
      <w:rFonts w:ascii="Arial" w:eastAsia="Times New Roman" w:hAnsi="Arial" w:cs="Times New Roman"/>
      <w:kern w:val="0"/>
      <w:sz w:val="20"/>
      <w:szCs w:val="20"/>
      <w:lang w:val="en-GB" w:eastAsia="en-GB"/>
      <w14:ligatures w14:val="none"/>
    </w:rPr>
  </w:style>
  <w:style w:type="paragraph" w:styleId="Heading1">
    <w:name w:val="heading 1"/>
    <w:basedOn w:val="Normal"/>
    <w:next w:val="Normal"/>
    <w:link w:val="Heading1Char"/>
    <w:qFormat/>
    <w:rsid w:val="00DA5E60"/>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DA5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5E60"/>
    <w:rPr>
      <w:rFonts w:ascii="Arial" w:eastAsia="Times New Roman" w:hAnsi="Arial" w:cs="Times New Roman"/>
      <w:spacing w:val="-4"/>
      <w:kern w:val="0"/>
      <w:sz w:val="48"/>
      <w:szCs w:val="20"/>
      <w:lang w:val="en-GB"/>
      <w14:ligatures w14:val="none"/>
    </w:rPr>
  </w:style>
  <w:style w:type="paragraph" w:styleId="Footer">
    <w:name w:val="footer"/>
    <w:basedOn w:val="Normal"/>
    <w:link w:val="FooterChar"/>
    <w:rsid w:val="00DA5E60"/>
    <w:pPr>
      <w:tabs>
        <w:tab w:val="center" w:pos="4153"/>
        <w:tab w:val="right" w:pos="8306"/>
      </w:tabs>
    </w:pPr>
    <w:rPr>
      <w:lang w:val="x-none" w:eastAsia="x-none"/>
    </w:rPr>
  </w:style>
  <w:style w:type="character" w:customStyle="1" w:styleId="FooterChar">
    <w:name w:val="Footer Char"/>
    <w:basedOn w:val="DefaultParagraphFont"/>
    <w:link w:val="Footer"/>
    <w:rsid w:val="00DA5E60"/>
    <w:rPr>
      <w:rFonts w:ascii="Arial" w:eastAsia="Times New Roman" w:hAnsi="Arial" w:cs="Times New Roman"/>
      <w:kern w:val="0"/>
      <w:sz w:val="20"/>
      <w:szCs w:val="20"/>
      <w:lang w:val="x-none" w:eastAsia="x-none"/>
      <w14:ligatures w14:val="none"/>
    </w:rPr>
  </w:style>
  <w:style w:type="paragraph" w:customStyle="1" w:styleId="Heading3nonum">
    <w:name w:val="Heading 3 nonum"/>
    <w:basedOn w:val="Heading3"/>
    <w:rsid w:val="00DA5E60"/>
    <w:pPr>
      <w:keepNext w:val="0"/>
      <w:spacing w:before="120" w:line="270" w:lineRule="exact"/>
      <w:jc w:val="left"/>
    </w:pPr>
    <w:rPr>
      <w:rFonts w:ascii="Arial" w:eastAsia="Times New Roman" w:hAnsi="Arial" w:cs="Times New Roman"/>
      <w:color w:val="auto"/>
      <w:sz w:val="20"/>
      <w:szCs w:val="20"/>
      <w:lang w:eastAsia="en-US"/>
    </w:rPr>
  </w:style>
  <w:style w:type="character" w:customStyle="1" w:styleId="change">
    <w:name w:val="change"/>
    <w:rsid w:val="00DA5E60"/>
    <w:rPr>
      <w:color w:val="FF0000"/>
    </w:rPr>
  </w:style>
  <w:style w:type="character" w:customStyle="1" w:styleId="Heading3Char">
    <w:name w:val="Heading 3 Char"/>
    <w:basedOn w:val="DefaultParagraphFont"/>
    <w:link w:val="Heading3"/>
    <w:uiPriority w:val="9"/>
    <w:semiHidden/>
    <w:rsid w:val="00DA5E60"/>
    <w:rPr>
      <w:rFonts w:asciiTheme="majorHAnsi" w:eastAsiaTheme="majorEastAsia" w:hAnsiTheme="majorHAnsi" w:cstheme="majorBidi"/>
      <w:color w:val="1F3763" w:themeColor="accent1" w:themeShade="7F"/>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2</cp:revision>
  <dcterms:created xsi:type="dcterms:W3CDTF">2023-05-09T14:33:00Z</dcterms:created>
  <dcterms:modified xsi:type="dcterms:W3CDTF">2023-05-09T14:39:00Z</dcterms:modified>
</cp:coreProperties>
</file>