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50FB1064" w14:textId="456D3A30" w:rsidR="00D9212A" w:rsidRPr="00D9212A" w:rsidRDefault="00BD1A81" w:rsidP="00D9212A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AB0AA70" w14:textId="77777777" w:rsidR="00D9212A" w:rsidRPr="00946444" w:rsidRDefault="00D9212A" w:rsidP="00D921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0C03DD92" w:rsidR="00BD1A81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0BCDD18F" w14:textId="77777777" w:rsidR="0061110D" w:rsidRPr="003848D2" w:rsidRDefault="0061110D" w:rsidP="0061110D">
      <w:pPr>
        <w:rPr>
          <w:b/>
        </w:rPr>
      </w:pPr>
      <w:r w:rsidRPr="003848D2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3848D2">
        <w:rPr>
          <w:b/>
        </w:rPr>
        <w:t xml:space="preserve"> (SI </w:t>
      </w:r>
      <w:r>
        <w:rPr>
          <w:b/>
        </w:rPr>
        <w:t>2012</w:t>
      </w:r>
      <w:r w:rsidRPr="003848D2">
        <w:rPr>
          <w:b/>
        </w:rPr>
        <w:t>, No.</w:t>
      </w:r>
      <w:r>
        <w:rPr>
          <w:b/>
        </w:rPr>
        <w:t xml:space="preserve"> 3038</w:t>
      </w:r>
      <w:r w:rsidRPr="003848D2">
        <w:rPr>
          <w:b/>
        </w:rPr>
        <w:t>) (the Regulations)</w:t>
      </w:r>
    </w:p>
    <w:p w14:paraId="10C6C4C3" w14:textId="23E773A8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286847">
        <w:rPr>
          <w:rFonts w:cs="Arial"/>
        </w:rPr>
        <w:instrText>params.</w:instrText>
      </w:r>
      <w:r w:rsidR="009D1E32">
        <w:rPr>
          <w:rFonts w:cs="Arial"/>
        </w:rPr>
        <w:instrText>transferer</w:instrText>
      </w:r>
      <w:r w:rsidR="00286847">
        <w:rPr>
          <w:rFonts w:cs="Arial"/>
        </w:rPr>
        <w:instrText>PermitId</w:instrText>
      </w:r>
      <w:r>
        <w:rPr>
          <w:rFonts w:cs="Arial"/>
        </w:rPr>
        <w:instrText xml:space="preserve">)!}  \* MERGEFORMAT </w:instrText>
      </w:r>
      <w:r>
        <w:rPr>
          <w:rFonts w:cs="Arial"/>
        </w:rPr>
        <w:fldChar w:fldCharType="separate"/>
      </w:r>
      <w:r w:rsidR="00036962">
        <w:rPr>
          <w:rFonts w:cs="Arial"/>
          <w:noProof/>
        </w:rPr>
        <w:t>«${(params.transfererPermitId)!}»</w:t>
      </w:r>
      <w:r>
        <w:rPr>
          <w:rFonts w:cs="Arial"/>
        </w:rPr>
        <w:fldChar w:fldCharType="end"/>
      </w:r>
    </w:p>
    <w:p w14:paraId="04D2687B" w14:textId="48748F59" w:rsidR="0030322B" w:rsidRDefault="00444948" w:rsidP="00C10818">
      <w:pPr>
        <w:jc w:val="both"/>
        <w:rPr>
          <w:rFonts w:cs="Arial"/>
        </w:rPr>
      </w:pPr>
      <w:r>
        <w:rPr>
          <w:b/>
        </w:rPr>
        <w:t>Installation name</w:t>
      </w:r>
      <w:r w:rsidR="00BD1A81" w:rsidRPr="00EF65C9">
        <w:rPr>
          <w:b/>
        </w:rPr>
        <w:t>:</w:t>
      </w:r>
      <w:r w:rsidR="00BD1A81" w:rsidRPr="00EF65C9">
        <w:t xml:space="preserve"> </w:t>
      </w:r>
      <w:r w:rsidR="00C10818">
        <w:rPr>
          <w:rFonts w:cs="Arial"/>
        </w:rPr>
        <w:fldChar w:fldCharType="begin"/>
      </w:r>
      <w:r w:rsidR="00C10818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920782">
        <w:rPr>
          <w:rFonts w:cs="Arial"/>
        </w:rPr>
        <w:instrText>params</w:instrText>
      </w:r>
      <w:r w:rsidR="00C10818">
        <w:rPr>
          <w:rFonts w:cs="Arial"/>
        </w:rPr>
        <w:instrText>.</w:instrText>
      </w:r>
      <w:r w:rsidR="00357DC8" w:rsidRPr="00357DC8">
        <w:rPr>
          <w:rFonts w:cs="Arial"/>
        </w:rPr>
        <w:instrText>transfererInstallationName</w:instrText>
      </w:r>
      <w:r w:rsidR="00D13C93">
        <w:rPr>
          <w:rFonts w:cs="Arial"/>
        </w:rPr>
        <w:instrText>)!</w:instrText>
      </w:r>
      <w:r w:rsidR="00C10818">
        <w:rPr>
          <w:rFonts w:cs="Arial"/>
        </w:rPr>
        <w:instrText xml:space="preserve">} </w:instrText>
      </w:r>
      <w:r w:rsidR="00C10818">
        <w:rPr>
          <w:rFonts w:cs="Arial"/>
        </w:rPr>
        <w:fldChar w:fldCharType="separate"/>
      </w:r>
      <w:r w:rsidR="00731D07">
        <w:rPr>
          <w:rFonts w:cs="Arial"/>
          <w:noProof/>
        </w:rPr>
        <w:t>«${(params.transfererInstallationName)!}»</w:t>
      </w:r>
      <w:r w:rsidR="00C10818">
        <w:rPr>
          <w:rFonts w:cs="Arial"/>
        </w:rPr>
        <w:fldChar w:fldCharType="end"/>
      </w:r>
    </w:p>
    <w:p w14:paraId="782AB90E" w14:textId="51533A79" w:rsidR="00A04410" w:rsidRDefault="00C10818" w:rsidP="0030322B">
      <w:pPr>
        <w:outlineLvl w:val="0"/>
        <w:rPr>
          <w:rFonts w:cs="Arial"/>
        </w:rPr>
      </w:pPr>
      <w:r w:rsidRPr="003848D2">
        <w:rPr>
          <w:b/>
        </w:rPr>
        <w:t>Transfer of permit to</w:t>
      </w:r>
      <w:r w:rsidRPr="00EF65C9">
        <w:rPr>
          <w:b/>
        </w:rPr>
        <w:t>:</w:t>
      </w:r>
      <w:r w:rsidRPr="00EF65C9">
        <w:t xml:space="preserve"> </w:t>
      </w:r>
      <w:r w:rsidR="00D70DB7">
        <w:rPr>
          <w:rFonts w:cs="Arial"/>
        </w:rPr>
        <w:fldChar w:fldCharType="begin"/>
      </w:r>
      <w:r w:rsidR="00D70DB7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D70DB7">
        <w:rPr>
          <w:rFonts w:cs="Arial"/>
        </w:rPr>
        <w:instrText>params.receiver</w:instrText>
      </w:r>
      <w:r w:rsidR="00D13C93">
        <w:rPr>
          <w:rFonts w:cs="Arial"/>
        </w:rPr>
        <w:instrText>)!</w:instrText>
      </w:r>
      <w:r w:rsidR="00D70DB7">
        <w:rPr>
          <w:rFonts w:cs="Arial"/>
        </w:rPr>
        <w:instrText xml:space="preserve">} </w:instrText>
      </w:r>
      <w:r w:rsidR="00D70DB7">
        <w:rPr>
          <w:rFonts w:cs="Arial"/>
        </w:rPr>
        <w:fldChar w:fldCharType="separate"/>
      </w:r>
      <w:r w:rsidR="00036962">
        <w:rPr>
          <w:rFonts w:cs="Arial"/>
          <w:noProof/>
        </w:rPr>
        <w:t>«${(params.receiver)!}»</w:t>
      </w:r>
      <w:r w:rsidR="00D70DB7">
        <w:rPr>
          <w:rFonts w:cs="Arial"/>
        </w:rPr>
        <w:fldChar w:fldCharType="end"/>
      </w:r>
    </w:p>
    <w:p w14:paraId="68DA05E7" w14:textId="305349A9" w:rsidR="00A04410" w:rsidRPr="005B1B7A" w:rsidRDefault="00A04410" w:rsidP="00A04410">
      <w:pPr>
        <w:rPr>
          <w:rFonts w:cs="Arial"/>
          <w:color w:val="000000"/>
        </w:rPr>
      </w:pPr>
      <w:r>
        <w:rPr>
          <w:b/>
        </w:rPr>
        <w:t xml:space="preserve">From: </w:t>
      </w: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</w:instrText>
      </w:r>
      <w:r w:rsidR="00CD72DA">
        <w:rPr>
          <w:rStyle w:val="change"/>
          <w:color w:val="000000"/>
        </w:rPr>
        <w:instrText>params</w:instrText>
      </w:r>
      <w:r w:rsidRPr="005B1B7A">
        <w:rPr>
          <w:rStyle w:val="change"/>
          <w:color w:val="000000"/>
        </w:rPr>
        <w:instrText>.</w:instrText>
      </w:r>
      <w:r w:rsidR="00CD72DA">
        <w:rPr>
          <w:rStyle w:val="change"/>
          <w:color w:val="000000"/>
        </w:rPr>
        <w:instrText>transferer</w:instrText>
      </w:r>
      <w:r w:rsidRPr="005B1B7A">
        <w:rPr>
          <w:rStyle w:val="change"/>
          <w:color w:val="000000"/>
        </w:rPr>
        <w:instrText xml:space="preserve">)!}  \* MERGEFORMAT </w:instrText>
      </w:r>
      <w:r w:rsidRPr="005B1B7A">
        <w:rPr>
          <w:rStyle w:val="change"/>
          <w:color w:val="000000"/>
        </w:rPr>
        <w:fldChar w:fldCharType="separate"/>
      </w:r>
      <w:r w:rsidR="00036962">
        <w:rPr>
          <w:rStyle w:val="change"/>
          <w:noProof/>
          <w:color w:val="000000"/>
        </w:rPr>
        <w:t>«${(params.transferer)!}»</w:t>
      </w:r>
      <w:r w:rsidRPr="005B1B7A">
        <w:rPr>
          <w:rStyle w:val="change"/>
          <w:color w:val="000000"/>
        </w:rPr>
        <w:fldChar w:fldCharType="end"/>
      </w:r>
    </w:p>
    <w:p w14:paraId="5A08DD31" w14:textId="78A68BD1" w:rsidR="00036962" w:rsidRPr="003848D2" w:rsidRDefault="00A04410" w:rsidP="00036962">
      <w:r w:rsidRPr="003633B1">
        <w:rPr>
          <w:rFonts w:cs="Arial"/>
        </w:rPr>
        <w:t xml:space="preserve">In response to your joint application, the </w:t>
      </w:r>
      <w:r w:rsidR="00D13C93">
        <w:rPr>
          <w:rStyle w:val="change"/>
          <w:color w:val="000000"/>
        </w:rPr>
        <w:fldChar w:fldCharType="begin"/>
      </w:r>
      <w:r w:rsidR="00D13C93">
        <w:rPr>
          <w:rStyle w:val="change"/>
          <w:color w:val="000000"/>
        </w:rPr>
        <w:instrText xml:space="preserve"> MERGEFIELD  ${(competentAuthority.name)!}  \* MERGEFORMAT </w:instrText>
      </w:r>
      <w:r w:rsidR="00D13C93">
        <w:rPr>
          <w:rStyle w:val="change"/>
          <w:color w:val="000000"/>
        </w:rPr>
        <w:fldChar w:fldCharType="separate"/>
      </w:r>
      <w:r w:rsidR="00D13C93">
        <w:rPr>
          <w:rStyle w:val="change"/>
          <w:noProof/>
          <w:color w:val="000000"/>
        </w:rPr>
        <w:t>«${(competentAuthority.name)!}»</w:t>
      </w:r>
      <w:r w:rsidR="00D13C93">
        <w:rPr>
          <w:rStyle w:val="change"/>
          <w:color w:val="000000"/>
        </w:rPr>
        <w:fldChar w:fldCharType="end"/>
      </w:r>
      <w:r w:rsidRPr="003633B1">
        <w:rPr>
          <w:rFonts w:cs="Arial"/>
        </w:rPr>
        <w:t xml:space="preserve"> has effected a </w:t>
      </w:r>
      <w:r>
        <w:rPr>
          <w:rFonts w:cs="Arial"/>
        </w:rPr>
        <w:t>transfer</w:t>
      </w:r>
      <w:r w:rsidRPr="003633B1">
        <w:rPr>
          <w:rFonts w:cs="Arial"/>
        </w:rPr>
        <w:t xml:space="preserve"> of the above greenhouse gas emissions permit in accordance with the </w:t>
      </w:r>
      <w:r w:rsidR="00036962" w:rsidRPr="003848D2">
        <w:t xml:space="preserve">Regulations. </w:t>
      </w:r>
      <w:r w:rsidR="002C2CD3" w:rsidRPr="003633B1">
        <w:rPr>
          <w:rFonts w:cs="Arial"/>
        </w:rPr>
        <w:t>We enclose with this letter a Notice of Transfer of Permit, (which we have issued to both the current operator and the new operator), which explains how the transfer has been effected.</w:t>
      </w:r>
    </w:p>
    <w:p w14:paraId="6B158D9E" w14:textId="211A86F8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Please quote your permit number in all future correspondence with the</w:t>
      </w:r>
      <w:r w:rsidR="00F30028">
        <w:rPr>
          <w:rFonts w:cs="Arial"/>
        </w:rPr>
        <w:t xml:space="preserve"> </w:t>
      </w:r>
      <w:r w:rsidR="00F30028">
        <w:rPr>
          <w:rStyle w:val="change"/>
          <w:color w:val="000000"/>
        </w:rPr>
        <w:fldChar w:fldCharType="begin"/>
      </w:r>
      <w:r w:rsidR="00F30028">
        <w:rPr>
          <w:rStyle w:val="change"/>
          <w:color w:val="000000"/>
        </w:rPr>
        <w:instrText xml:space="preserve"> MERGEFIELD  ${(competentAuthority.name)!}  \* MERGEFORMAT </w:instrText>
      </w:r>
      <w:r w:rsidR="00F30028">
        <w:rPr>
          <w:rStyle w:val="change"/>
          <w:color w:val="000000"/>
        </w:rPr>
        <w:fldChar w:fldCharType="separate"/>
      </w:r>
      <w:r w:rsidR="00F30028">
        <w:rPr>
          <w:rStyle w:val="change"/>
          <w:noProof/>
          <w:color w:val="000000"/>
        </w:rPr>
        <w:t>«${(competentAuthority.name)!}»</w:t>
      </w:r>
      <w:r w:rsidR="00F30028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34E6D658" w14:textId="0235D477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If you require any clarification of the above, please do not hesitate to contact a member of the Emissions Trading Team either directly or by e-mail to</w:t>
      </w:r>
      <w:r w:rsidR="00F310E7">
        <w:rPr>
          <w:rFonts w:cs="Arial"/>
        </w:rPr>
        <w:t xml:space="preserve"> </w:t>
      </w:r>
      <w:r w:rsidR="00F310E7">
        <w:rPr>
          <w:rStyle w:val="change"/>
          <w:color w:val="000000"/>
        </w:rPr>
        <w:fldChar w:fldCharType="begin"/>
      </w:r>
      <w:r w:rsidR="00F310E7">
        <w:rPr>
          <w:rStyle w:val="change"/>
          <w:color w:val="000000"/>
        </w:rPr>
        <w:instrText xml:space="preserve"> MERGEFIELD  ${(competentAuthority.email)!}  \* MERGEFORMAT </w:instrText>
      </w:r>
      <w:r w:rsidR="00F310E7">
        <w:rPr>
          <w:rStyle w:val="change"/>
          <w:color w:val="000000"/>
        </w:rPr>
        <w:fldChar w:fldCharType="separate"/>
      </w:r>
      <w:r w:rsidR="00F310E7">
        <w:rPr>
          <w:rStyle w:val="change"/>
          <w:noProof/>
          <w:color w:val="000000"/>
        </w:rPr>
        <w:t>«${(competentAuthority.email)!}»</w:t>
      </w:r>
      <w:r w:rsidR="00F310E7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4A28EB46" w14:textId="0F2161A3" w:rsidR="00A04410" w:rsidRPr="00A04410" w:rsidRDefault="00A04410" w:rsidP="0030322B">
      <w:pPr>
        <w:outlineLvl w:val="0"/>
        <w:rPr>
          <w:rFonts w:cs="Arial"/>
        </w:rPr>
      </w:pPr>
    </w:p>
    <w:p w14:paraId="3A2D71A3" w14:textId="2018C637" w:rsidR="00BD1A81" w:rsidRDefault="0030322B" w:rsidP="0030322B">
      <w:pPr>
        <w:outlineLvl w:val="0"/>
      </w:pPr>
      <w:r w:rsidRPr="005A54FB">
        <w:t xml:space="preserve">Yours </w:t>
      </w:r>
      <w:r w:rsidR="00EB470A">
        <w:rPr>
          <w:rFonts w:cs="Arial"/>
        </w:rPr>
        <w:t>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4BC79C7B" w:rsidR="004D36AF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43CAFDAA" w14:textId="5D723A9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23DEEC0" w14:textId="1CFCEAF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DCE7D1E" w14:textId="65A2B6A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E45D479" w14:textId="47F4FB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C5F4E49" w14:textId="0F4B0264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BA76ED3" w14:textId="71536CD7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8836C4B" w14:textId="54DE3A3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C6BEF99" w14:textId="03D3B3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B9807C9" w14:textId="426F8F06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CEAD53" w14:textId="2FDC2251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B1D5D1C" w14:textId="2089D34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27B88BC" w14:textId="38397FB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0E68800" w14:textId="76FC11A8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3F3E59EF" w14:textId="560D020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14EA4A" w14:textId="596D07D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6D31069" w14:textId="2A295A4C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F79DA66" w14:textId="50BC24C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CDC39E4" w14:textId="07A5B7D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7B8BA9E5" w14:textId="3801A5C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47CDD08" w14:textId="55386FE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BA030B" w:rsidRPr="00F925C3" w14:paraId="667D8426" w14:textId="77777777" w:rsidTr="006E3597">
        <w:tc>
          <w:tcPr>
            <w:tcW w:w="5812" w:type="dxa"/>
            <w:shd w:val="clear" w:color="auto" w:fill="000000" w:themeFill="text1"/>
          </w:tcPr>
          <w:p w14:paraId="60DD3EAE" w14:textId="5E5F8D9E" w:rsidR="00BA030B" w:rsidRPr="001A30C9" w:rsidRDefault="0060151C" w:rsidP="006E3597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lastRenderedPageBreak/>
              <w:t>Transfer</w:t>
            </w:r>
            <w:r w:rsidR="00BA030B">
              <w:rPr>
                <w:rFonts w:cs="Arial"/>
                <w:color w:val="FFFFFF" w:themeColor="background1"/>
              </w:rPr>
              <w:t xml:space="preserve"> of Permit</w:t>
            </w:r>
          </w:p>
        </w:tc>
        <w:tc>
          <w:tcPr>
            <w:tcW w:w="3686" w:type="dxa"/>
            <w:shd w:val="clear" w:color="auto" w:fill="auto"/>
          </w:tcPr>
          <w:p w14:paraId="22BA7740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2" w:name="competentAuthorityLogo2"/>
            <w:r>
              <w:rPr>
                <w:noProof/>
              </w:rPr>
              <w:drawing>
                <wp:inline distT="0" distB="0" distL="0" distR="0" wp14:anchorId="3281F425" wp14:editId="3E7FEEAE">
                  <wp:extent cx="2157984" cy="2313432"/>
                  <wp:effectExtent l="0" t="0" r="0" b="0"/>
                  <wp:docPr id="8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6985ACAE" w14:textId="77777777" w:rsidR="00814EBC" w:rsidRPr="003848D2" w:rsidRDefault="00814EBC" w:rsidP="00814EBC">
      <w:r w:rsidRPr="003848D2">
        <w:t>The Greenhouse Gas Emissions Trading Scheme Regulations 20</w:t>
      </w:r>
      <w:r>
        <w:t>12</w:t>
      </w:r>
      <w:r w:rsidRPr="003848D2">
        <w:t xml:space="preserve"> (</w:t>
      </w:r>
      <w:r>
        <w:t>SI 2012</w:t>
      </w:r>
      <w:r w:rsidRPr="003848D2">
        <w:t xml:space="preserve"> No.</w:t>
      </w:r>
      <w:r>
        <w:t xml:space="preserve"> 3038</w:t>
      </w:r>
      <w:r w:rsidRPr="003848D2">
        <w:t>) (</w:t>
      </w:r>
      <w:r>
        <w:t>t</w:t>
      </w:r>
      <w:r w:rsidRPr="003848D2">
        <w:t>he Regulations)</w:t>
      </w:r>
    </w:p>
    <w:p w14:paraId="483E8DC4" w14:textId="77777777" w:rsidR="00814EBC" w:rsidRPr="003848D2" w:rsidRDefault="00814EBC" w:rsidP="00814EBC">
      <w:r w:rsidRPr="003848D2">
        <w:t>Regulation 1</w:t>
      </w:r>
      <w:r>
        <w:t>2, Schedule 3, paragraph 2 and Schedule 4, paragraph 3</w:t>
      </w:r>
    </w:p>
    <w:p w14:paraId="1C39D065" w14:textId="77777777" w:rsidR="00D81B4A" w:rsidRPr="003848D2" w:rsidRDefault="00D81B4A" w:rsidP="00D81B4A">
      <w:pPr>
        <w:pStyle w:val="Heading1"/>
      </w:pPr>
      <w:r w:rsidRPr="003848D2">
        <w:t>Notice of Transfer of Permit</w:t>
      </w:r>
    </w:p>
    <w:p w14:paraId="01DD7456" w14:textId="2EBD6E5B" w:rsidR="00A41FAD" w:rsidRPr="00933D58" w:rsidRDefault="00E84BA6" w:rsidP="00BA030B">
      <w:pPr>
        <w:rPr>
          <w:rFonts w:cs="Arial"/>
          <w:color w:val="000000"/>
        </w:rPr>
      </w:pPr>
      <w:r>
        <w:rPr>
          <w:b/>
        </w:rPr>
        <w:t>Old</w:t>
      </w:r>
      <w:r w:rsidR="00A41FAD" w:rsidRPr="003848D2">
        <w:rPr>
          <w:b/>
        </w:rPr>
        <w:t xml:space="preserve"> </w:t>
      </w:r>
      <w:r w:rsidR="00A41FAD">
        <w:rPr>
          <w:b/>
        </w:rPr>
        <w:t>p</w:t>
      </w:r>
      <w:r w:rsidR="00A41FAD" w:rsidRPr="003848D2">
        <w:rPr>
          <w:b/>
        </w:rPr>
        <w:t xml:space="preserve">ermit </w:t>
      </w:r>
      <w:r w:rsidR="00A41FAD">
        <w:rPr>
          <w:b/>
        </w:rPr>
        <w:t>reference</w:t>
      </w:r>
      <w:r w:rsidR="00A41FAD" w:rsidRPr="003848D2">
        <w:rPr>
          <w:b/>
        </w:rPr>
        <w:t>:</w:t>
      </w:r>
      <w:r w:rsidR="00A41FAD" w:rsidRPr="00F925C3">
        <w:rPr>
          <w:rFonts w:cs="Arial"/>
          <w:color w:val="000000"/>
        </w:rPr>
        <w:t xml:space="preserve"> </w:t>
      </w:r>
      <w:r w:rsidR="00A41FAD">
        <w:rPr>
          <w:rFonts w:cs="Arial"/>
          <w:color w:val="000000"/>
        </w:rPr>
        <w:fldChar w:fldCharType="begin"/>
      </w:r>
      <w:r w:rsidR="00A41FAD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BE2DDF">
        <w:rPr>
          <w:rFonts w:cs="Arial"/>
          <w:color w:val="000000"/>
        </w:rPr>
        <w:instrText>transferer</w:instrText>
      </w:r>
      <w:r w:rsidR="005515EF">
        <w:rPr>
          <w:rFonts w:cs="Arial"/>
          <w:color w:val="000000"/>
        </w:rPr>
        <w:instrText>P</w:instrText>
      </w:r>
      <w:r w:rsidR="00A41FAD">
        <w:rPr>
          <w:rFonts w:cs="Arial"/>
          <w:color w:val="000000"/>
        </w:rPr>
        <w:instrText xml:space="preserve">ermitId)!}  \* MERGEFORMAT </w:instrText>
      </w:r>
      <w:r w:rsidR="00A41FAD">
        <w:rPr>
          <w:rFonts w:cs="Arial"/>
          <w:color w:val="000000"/>
        </w:rPr>
        <w:fldChar w:fldCharType="separate"/>
      </w:r>
      <w:r w:rsidR="00A41FAD">
        <w:rPr>
          <w:rFonts w:cs="Arial"/>
          <w:noProof/>
          <w:color w:val="000000"/>
        </w:rPr>
        <w:t>«${(permitId)!}»</w:t>
      </w:r>
      <w:r w:rsidR="00A41FAD">
        <w:rPr>
          <w:rFonts w:cs="Arial"/>
          <w:color w:val="000000"/>
        </w:rPr>
        <w:fldChar w:fldCharType="end"/>
      </w:r>
    </w:p>
    <w:p w14:paraId="46AAA6CD" w14:textId="426704EC" w:rsidR="00BA030B" w:rsidRDefault="0044601A" w:rsidP="00BA030B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>New p</w:t>
      </w:r>
      <w:r w:rsidR="00BA030B" w:rsidRPr="00F925C3">
        <w:rPr>
          <w:rFonts w:cs="Arial"/>
          <w:b/>
          <w:color w:val="000000"/>
        </w:rPr>
        <w:t>ermit reference:</w:t>
      </w:r>
      <w:r w:rsidR="00BA030B" w:rsidRPr="00F925C3">
        <w:rPr>
          <w:rFonts w:cs="Arial"/>
          <w:color w:val="000000"/>
        </w:rPr>
        <w:t xml:space="preserve"> </w:t>
      </w:r>
      <w:r w:rsidR="00BA030B">
        <w:rPr>
          <w:rFonts w:cs="Arial"/>
          <w:color w:val="000000"/>
        </w:rPr>
        <w:fldChar w:fldCharType="begin"/>
      </w:r>
      <w:r w:rsidR="00BA030B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2731AB">
        <w:rPr>
          <w:rFonts w:cs="Arial"/>
          <w:color w:val="000000"/>
        </w:rPr>
        <w:instrText>receiver</w:instrText>
      </w:r>
      <w:r w:rsidR="005515EF">
        <w:rPr>
          <w:rFonts w:cs="Arial"/>
          <w:color w:val="000000"/>
        </w:rPr>
        <w:instrText>P</w:instrText>
      </w:r>
      <w:r w:rsidR="00BA030B">
        <w:rPr>
          <w:rFonts w:cs="Arial"/>
          <w:color w:val="000000"/>
        </w:rPr>
        <w:instrText xml:space="preserve">ermitId)!}  \* MERGEFORMAT </w:instrText>
      </w:r>
      <w:r w:rsidR="00BA030B">
        <w:rPr>
          <w:rFonts w:cs="Arial"/>
          <w:color w:val="000000"/>
        </w:rPr>
        <w:fldChar w:fldCharType="separate"/>
      </w:r>
      <w:r w:rsidR="00BA030B">
        <w:rPr>
          <w:rFonts w:cs="Arial"/>
          <w:noProof/>
          <w:color w:val="000000"/>
        </w:rPr>
        <w:t>«${(permitId)!}»</w:t>
      </w:r>
      <w:r w:rsidR="00BA030B">
        <w:rPr>
          <w:rFonts w:cs="Arial"/>
          <w:color w:val="000000"/>
        </w:rPr>
        <w:fldChar w:fldCharType="end"/>
      </w:r>
    </w:p>
    <w:p w14:paraId="59A23DC6" w14:textId="05D4BBDA" w:rsidR="009760B2" w:rsidRDefault="009760B2" w:rsidP="00BA030B">
      <w:pPr>
        <w:rPr>
          <w:rFonts w:cs="Arial"/>
          <w:color w:val="000000"/>
        </w:rPr>
      </w:pPr>
      <w:r w:rsidRPr="009760B2">
        <w:rPr>
          <w:rStyle w:val="change"/>
          <w:rFonts w:cs="Arial"/>
          <w:b/>
          <w:color w:val="000000" w:themeColor="text1"/>
        </w:rPr>
        <w:t>Transfer notice reference:</w:t>
      </w:r>
      <w:r w:rsidRPr="00F925C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${(workflow.requestId)!}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«${(workflow.requestId)!}»</w:t>
      </w:r>
      <w:r>
        <w:rPr>
          <w:rFonts w:cs="Arial"/>
          <w:color w:val="000000"/>
        </w:rPr>
        <w:fldChar w:fldCharType="end"/>
      </w:r>
    </w:p>
    <w:p w14:paraId="4D3758AF" w14:textId="6EFC3480" w:rsidR="00ED751D" w:rsidRPr="00ED751D" w:rsidRDefault="00ED751D" w:rsidP="00BA030B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Transfer from: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 w:rsidR="00CB5E21">
        <w:rPr>
          <w:rFonts w:cs="Arial"/>
        </w:rPr>
        <w:fldChar w:fldCharType="begin"/>
      </w:r>
      <w:r w:rsidR="00CB5E21"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3D0FF3">
        <w:rPr>
          <w:rFonts w:cs="Arial"/>
        </w:rPr>
        <w:instrText>params</w:instrText>
      </w:r>
      <w:r w:rsidR="00CB5E21">
        <w:rPr>
          <w:rFonts w:cs="Arial"/>
        </w:rPr>
        <w:instrText>.transferer</w:instrText>
      </w:r>
      <w:r w:rsidR="008A4FC4">
        <w:rPr>
          <w:rFonts w:cs="Arial"/>
        </w:rPr>
        <w:instrText>)!</w:instrText>
      </w:r>
      <w:r w:rsidR="00CB5E21">
        <w:rPr>
          <w:rFonts w:cs="Arial"/>
        </w:rPr>
        <w:instrText xml:space="preserve">} </w:instrText>
      </w:r>
      <w:r w:rsidR="00CB5E21">
        <w:rPr>
          <w:rFonts w:cs="Arial"/>
        </w:rPr>
        <w:fldChar w:fldCharType="separate"/>
      </w:r>
      <w:r w:rsidR="00665617">
        <w:rPr>
          <w:rFonts w:cs="Arial"/>
          <w:noProof/>
        </w:rPr>
        <w:t>«${params.transferer}»</w:t>
      </w:r>
      <w:r w:rsidR="00CB5E21">
        <w:rPr>
          <w:rFonts w:cs="Arial"/>
        </w:rPr>
        <w:fldChar w:fldCharType="end"/>
      </w:r>
      <w:r w:rsidR="00E05A22"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A3765C">
        <w:rPr>
          <w:b/>
        </w:rPr>
        <w:t>current o</w:t>
      </w:r>
      <w:r w:rsidR="00A3765C" w:rsidRPr="003848D2">
        <w:rPr>
          <w:b/>
        </w:rPr>
        <w:t>perator</w:t>
      </w:r>
      <w:r w:rsidRPr="00ED751D">
        <w:rPr>
          <w:b/>
          <w:color w:val="000000" w:themeColor="text1"/>
        </w:rPr>
        <w:t>)</w:t>
      </w:r>
    </w:p>
    <w:p w14:paraId="5ECA96B6" w14:textId="5BBEB5B5" w:rsidR="00B51EC0" w:rsidRDefault="00B51EC0" w:rsidP="00B51EC0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</w:t>
      </w:r>
      <w:r>
        <w:rPr>
          <w:rStyle w:val="change"/>
          <w:rFonts w:cs="Arial"/>
          <w:b/>
          <w:color w:val="000000" w:themeColor="text1"/>
        </w:rPr>
        <w:t>o</w:t>
      </w:r>
      <w:r w:rsidRPr="00ED751D">
        <w:rPr>
          <w:rStyle w:val="change"/>
          <w:rFonts w:cs="Arial"/>
          <w:b/>
          <w:color w:val="000000" w:themeColor="text1"/>
        </w:rPr>
        <w:t>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6164A6">
        <w:rPr>
          <w:rFonts w:cs="Arial"/>
        </w:rPr>
        <w:instrText>params</w:instrText>
      </w:r>
      <w:r>
        <w:rPr>
          <w:rFonts w:cs="Arial"/>
        </w:rPr>
        <w:instrText>.receiver</w:instrText>
      </w:r>
      <w:r w:rsidR="008A4FC4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 w:rsidR="004E5AA5">
        <w:rPr>
          <w:rFonts w:cs="Arial"/>
          <w:noProof/>
        </w:rPr>
        <w:t>«${»</w:t>
      </w:r>
      <w:r>
        <w:rPr>
          <w:rFonts w:cs="Arial"/>
        </w:rPr>
        <w:fldChar w:fldCharType="end"/>
      </w:r>
      <w:r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BB694D">
        <w:rPr>
          <w:b/>
        </w:rPr>
        <w:t>new operator</w:t>
      </w:r>
      <w:r w:rsidRPr="00ED751D">
        <w:rPr>
          <w:b/>
          <w:color w:val="000000" w:themeColor="text1"/>
        </w:rPr>
        <w:t>)</w:t>
      </w:r>
    </w:p>
    <w:p w14:paraId="700AB1B1" w14:textId="79EEDBBE" w:rsidR="00684499" w:rsidRDefault="00684499" w:rsidP="00B51EC0">
      <w:r w:rsidRPr="003848D2">
        <w:t xml:space="preserve">Address of the </w:t>
      </w:r>
      <w:r>
        <w:t>i</w:t>
      </w:r>
      <w:r w:rsidRPr="003848D2">
        <w:t>nstallation</w:t>
      </w:r>
      <w:r>
        <w:t>(s)</w:t>
      </w:r>
      <w:r w:rsidRPr="003848D2">
        <w:t xml:space="preserve"> to which </w:t>
      </w:r>
      <w:r>
        <w:t>p</w:t>
      </w:r>
      <w:r w:rsidRPr="003848D2">
        <w:t>ermit</w:t>
      </w:r>
      <w:r>
        <w:t>(s)</w:t>
      </w:r>
      <w:r w:rsidRPr="003848D2">
        <w:t xml:space="preserve"> appl</w:t>
      </w:r>
      <w:r>
        <w:t>y(</w:t>
      </w:r>
      <w:proofErr w:type="spellStart"/>
      <w:r w:rsidRPr="003848D2">
        <w:t>ies</w:t>
      </w:r>
      <w:proofErr w:type="spellEnd"/>
      <w:r>
        <w:t>):</w:t>
      </w:r>
    </w:p>
    <w:p w14:paraId="5B70F1E5" w14:textId="4FB41E72" w:rsidR="00684499" w:rsidRDefault="002A7145" w:rsidP="00B51EC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275D3A">
        <w:rPr>
          <w:rFonts w:cs="Arial"/>
        </w:rPr>
        <w:instrText>(</w:instrText>
      </w:r>
      <w:r>
        <w:rPr>
          <w:rFonts w:cs="Arial"/>
        </w:rPr>
        <w:instrText>params.transfererInstallationAddress</w:instrText>
      </w:r>
      <w:r w:rsidR="00275D3A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«${params.transfererInstallationAddress}»</w:t>
      </w:r>
      <w:r>
        <w:rPr>
          <w:rFonts w:cs="Arial"/>
        </w:rPr>
        <w:fldChar w:fldCharType="end"/>
      </w:r>
    </w:p>
    <w:p w14:paraId="583B4230" w14:textId="3C09AF72" w:rsidR="00E368CC" w:rsidRPr="003848D2" w:rsidRDefault="00E368CC" w:rsidP="00E368CC">
      <w:r w:rsidRPr="003848D2">
        <w:t>Upon consideration of the joint application made under regulation 1</w:t>
      </w:r>
      <w:r>
        <w:t>2</w:t>
      </w:r>
      <w:r w:rsidRPr="003848D2">
        <w:t xml:space="preserve">(1) of the Regulations by the </w:t>
      </w:r>
      <w:r>
        <w:t>current o</w:t>
      </w:r>
      <w:r w:rsidRPr="003848D2">
        <w:t xml:space="preserve">perator and the </w:t>
      </w:r>
      <w:r>
        <w:t>new operator</w:t>
      </w:r>
      <w:r w:rsidRPr="003848D2">
        <w:t xml:space="preserve">,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«${params.transferDate?date?string('dd MM»</w:t>
      </w:r>
      <w:r>
        <w:rPr>
          <w:rFonts w:cs="Arial"/>
        </w:rPr>
        <w:fldChar w:fldCharType="end"/>
      </w:r>
      <w:r>
        <w:rPr>
          <w:rFonts w:cs="Arial"/>
        </w:rPr>
        <w:t>,</w:t>
      </w:r>
      <w:r w:rsidRPr="003848D2">
        <w:t xml:space="preserve"> for the transfer of the Permit to the </w:t>
      </w:r>
      <w:r>
        <w:t>new operator</w:t>
      </w:r>
      <w:r w:rsidRPr="003848D2">
        <w:t xml:space="preserve">, </w:t>
      </w:r>
      <w:r w:rsidR="009539F4">
        <w:rPr>
          <w:rStyle w:val="change"/>
          <w:color w:val="000000"/>
        </w:rPr>
        <w:fldChar w:fldCharType="begin"/>
      </w:r>
      <w:r w:rsidR="009539F4">
        <w:rPr>
          <w:rStyle w:val="change"/>
          <w:color w:val="000000"/>
        </w:rPr>
        <w:instrText xml:space="preserve"> MERGEFIELD  ${(competentAuthority.name)!}  \* MERGEFORMAT </w:instrText>
      </w:r>
      <w:r w:rsidR="009539F4">
        <w:rPr>
          <w:rStyle w:val="change"/>
          <w:color w:val="000000"/>
        </w:rPr>
        <w:fldChar w:fldCharType="separate"/>
      </w:r>
      <w:r w:rsidR="009539F4">
        <w:rPr>
          <w:rStyle w:val="change"/>
          <w:noProof/>
          <w:color w:val="000000"/>
        </w:rPr>
        <w:t>«${(competentAuthority.name)!}»</w:t>
      </w:r>
      <w:r w:rsidR="009539F4">
        <w:rPr>
          <w:rStyle w:val="change"/>
          <w:color w:val="000000"/>
        </w:rPr>
        <w:fldChar w:fldCharType="end"/>
      </w:r>
      <w:r w:rsidR="009539F4">
        <w:rPr>
          <w:rStyle w:val="change"/>
          <w:color w:val="000000"/>
        </w:rPr>
        <w:t xml:space="preserve"> </w:t>
      </w:r>
      <w:r w:rsidRPr="003848D2">
        <w:t>hereby gives notice that the transfer is to be effected.</w:t>
      </w:r>
    </w:p>
    <w:p w14:paraId="74670FFD" w14:textId="77777777" w:rsidR="00E368CC" w:rsidRPr="003848D2" w:rsidRDefault="00E368CC" w:rsidP="00E368CC">
      <w:r>
        <w:t>In order to effect the full transfer,</w:t>
      </w:r>
      <w:r w:rsidRPr="003848D2">
        <w:t xml:space="preserve"> the permit </w:t>
      </w:r>
      <w:r>
        <w:t>is varied</w:t>
      </w:r>
      <w:r w:rsidRPr="003848D2">
        <w:t xml:space="preserve"> to include the name and other particulars of the </w:t>
      </w:r>
      <w:r>
        <w:t>new operator and appropriate changes to the monitoring plan (if applicable)</w:t>
      </w:r>
      <w:r w:rsidRPr="003848D2">
        <w:t xml:space="preserve">. </w:t>
      </w:r>
      <w:r>
        <w:t xml:space="preserve">The variations are incorporated into the permit enclosed with this notice.  </w:t>
      </w:r>
      <w:r w:rsidRPr="003848D2">
        <w:t>The transfer take</w:t>
      </w:r>
      <w:r>
        <w:t>s</w:t>
      </w:r>
      <w:r w:rsidRPr="003848D2">
        <w:t xml:space="preserve"> effect from the date specified in the Permit.</w:t>
      </w:r>
    </w:p>
    <w:p w14:paraId="631F929F" w14:textId="27EF14AF" w:rsidR="00BA030B" w:rsidRPr="00B97417" w:rsidRDefault="00BA030B" w:rsidP="00BA030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BA030B" w:rsidRPr="00F925C3" w14:paraId="7FE14F7A" w14:textId="77777777" w:rsidTr="006E3597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E3AC8" w14:textId="77777777" w:rsidR="00BA030B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Signed</w:t>
            </w:r>
          </w:p>
          <w:p w14:paraId="605CFFF9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0424A822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3F4FE9C6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51ED3DF7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623BBF9A" w14:textId="37B4C85B" w:rsidR="00534A5C" w:rsidRPr="00534A5C" w:rsidRDefault="00534A5C" w:rsidP="00534A5C">
            <w:pPr>
              <w:tabs>
                <w:tab w:val="left" w:pos="900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14:paraId="0D20A05D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4D48C217" w14:textId="29326385" w:rsidR="00534A5C" w:rsidRPr="00534A5C" w:rsidRDefault="00534A5C" w:rsidP="00534A5C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4ACE82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Date</w:t>
            </w:r>
          </w:p>
        </w:tc>
      </w:tr>
      <w:tr w:rsidR="00BA030B" w:rsidRPr="00F925C3" w14:paraId="3B64E73E" w14:textId="77777777" w:rsidTr="006E3597">
        <w:tc>
          <w:tcPr>
            <w:tcW w:w="0" w:type="auto"/>
          </w:tcPr>
          <w:p w14:paraId="01B2FE13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3" w:name="signature2"/>
            <w:r>
              <w:rPr>
                <w:noProof/>
              </w:rPr>
              <w:lastRenderedPageBreak/>
              <w:drawing>
                <wp:inline distT="0" distB="0" distL="0" distR="0" wp14:anchorId="4CF46EBD" wp14:editId="58492738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4AC9D107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 MERGEFIELD  "${currentDate?date?string('dd MMMM yyyy')}" </w:instrText>
            </w:r>
            <w:r>
              <w:rPr>
                <w:rFonts w:cs="Arial"/>
                <w:color w:val="000000"/>
              </w:rPr>
              <w:fldChar w:fldCharType="separate"/>
            </w:r>
            <w:r>
              <w:rPr>
                <w:rFonts w:cs="Arial"/>
                <w:noProof/>
                <w:color w:val="000000"/>
              </w:rPr>
              <w:t>«${currentDate?date?string('dd MMMM yyyy'»</w:t>
            </w:r>
            <w:r>
              <w:rPr>
                <w:rFonts w:cs="Arial"/>
                <w:color w:val="000000"/>
              </w:rPr>
              <w:fldChar w:fldCharType="end"/>
            </w:r>
          </w:p>
        </w:tc>
      </w:tr>
    </w:tbl>
    <w:p w14:paraId="2907FD02" w14:textId="77777777" w:rsidR="00BA030B" w:rsidRPr="00F925C3" w:rsidRDefault="00BA030B" w:rsidP="00BA030B">
      <w:pPr>
        <w:rPr>
          <w:rFonts w:cs="Arial"/>
          <w:color w:val="000000"/>
        </w:rPr>
      </w:pP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${signatory.fullName}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«${signatory.fullName}»</w:t>
      </w:r>
      <w:r>
        <w:rPr>
          <w:rFonts w:cs="Arial"/>
          <w:color w:val="000000"/>
        </w:rPr>
        <w:fldChar w:fldCharType="end"/>
      </w:r>
    </w:p>
    <w:p w14:paraId="6A2E3410" w14:textId="461A6431" w:rsidR="00004C48" w:rsidRPr="003633B1" w:rsidRDefault="00004C48" w:rsidP="00004C48">
      <w:pPr>
        <w:rPr>
          <w:rFonts w:cs="Arial"/>
        </w:rPr>
      </w:pPr>
      <w:r>
        <w:rPr>
          <w:rFonts w:cs="Arial"/>
        </w:rPr>
        <w:t>Authorised to sign on behalf of the</w:t>
      </w:r>
      <w:r>
        <w:rPr>
          <w:rFonts w:cs="Arial"/>
          <w:snapToGrid w:val="0"/>
        </w:rPr>
        <w:t xml:space="preserve"> </w:t>
      </w: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 ${(competentAuthority.name)!}  \* MERGEFORMAT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noProof/>
          <w:color w:val="000000"/>
        </w:rPr>
        <w:t>«${(competentAuthority.name)!}»</w:t>
      </w:r>
      <w:r>
        <w:rPr>
          <w:rStyle w:val="change"/>
          <w:color w:val="000000"/>
        </w:rPr>
        <w:fldChar w:fldCharType="end"/>
      </w:r>
    </w:p>
    <w:p w14:paraId="3DF0CBB4" w14:textId="59C389FC" w:rsidR="009E7509" w:rsidRDefault="00EF6ECC" w:rsidP="00EF6ECC">
      <w:pPr>
        <w:spacing w:before="0" w:beforeAutospacing="0" w:after="160" w:afterAutospacing="0" w:line="259" w:lineRule="auto"/>
        <w:rPr>
          <w:lang w:eastAsia="en-US"/>
        </w:rPr>
      </w:pPr>
      <w:r>
        <w:br w:type="page"/>
      </w:r>
    </w:p>
    <w:p w14:paraId="2072B33E" w14:textId="77777777" w:rsidR="009E7509" w:rsidRPr="003848D2" w:rsidRDefault="009E7509" w:rsidP="009E7509">
      <w:pPr>
        <w:rPr>
          <w:b/>
        </w:rPr>
      </w:pPr>
      <w:r w:rsidRPr="003848D2">
        <w:rPr>
          <w:b/>
        </w:rPr>
        <w:lastRenderedPageBreak/>
        <w:t>Your right to appeal</w:t>
      </w:r>
    </w:p>
    <w:p w14:paraId="6B531482" w14:textId="77777777" w:rsidR="009E7509" w:rsidRPr="003848D2" w:rsidRDefault="009E7509" w:rsidP="009E7509">
      <w:pPr>
        <w:autoSpaceDE w:val="0"/>
        <w:autoSpaceDN w:val="0"/>
        <w:adjustRightInd w:val="0"/>
        <w:spacing w:before="0" w:beforeAutospacing="0" w:after="0" w:afterAutospacing="0"/>
      </w:pPr>
      <w:r w:rsidRPr="003848D2">
        <w:t xml:space="preserve">You have the right to appeal against the provisions of this </w:t>
      </w:r>
      <w:r>
        <w:t xml:space="preserve">notice or the </w:t>
      </w:r>
      <w:r w:rsidRPr="003848D2">
        <w:t xml:space="preserve">permit </w:t>
      </w:r>
      <w:r>
        <w:t>attached to this notice within 28 days of the date of this notice</w:t>
      </w:r>
      <w:r w:rsidRPr="003848D2">
        <w:t xml:space="preserve">. </w:t>
      </w:r>
      <w:r>
        <w:t xml:space="preserve"> Appeals are heard by the First Tier Tribunal and y</w:t>
      </w:r>
      <w:r w:rsidRPr="003848D2">
        <w:t xml:space="preserve">ou should refer to the </w:t>
      </w:r>
      <w:r w:rsidRPr="003213AF">
        <w:rPr>
          <w:rFonts w:cs="Arial"/>
        </w:rPr>
        <w:t>Tribunal Procedure (First-tier Tribunal) (General</w:t>
      </w:r>
      <w:r>
        <w:rPr>
          <w:rFonts w:cs="Arial"/>
        </w:rPr>
        <w:t xml:space="preserve"> </w:t>
      </w:r>
      <w:r w:rsidRPr="003213AF">
        <w:rPr>
          <w:rFonts w:cs="Arial"/>
        </w:rPr>
        <w:t>Regulatory Chamber) Rules 2009</w:t>
      </w:r>
      <w:r>
        <w:t xml:space="preserve"> </w:t>
      </w:r>
      <w:r w:rsidRPr="003848D2">
        <w:t>for details of the appeal process.</w:t>
      </w:r>
    </w:p>
    <w:p w14:paraId="2391839C" w14:textId="77777777" w:rsidR="009E7509" w:rsidRPr="00613CAC" w:rsidRDefault="009E7509" w:rsidP="00004C48">
      <w:pPr>
        <w:pStyle w:val="Heading3nonum"/>
        <w:keepLines w:val="0"/>
        <w:spacing w:line="240" w:lineRule="auto"/>
        <w:outlineLvl w:val="9"/>
      </w:pPr>
    </w:p>
    <w:sectPr w:rsidR="009E7509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9561" w14:textId="77777777" w:rsidR="00707B9B" w:rsidRDefault="00707B9B">
      <w:pPr>
        <w:spacing w:before="0" w:after="0"/>
      </w:pPr>
      <w:r>
        <w:separator/>
      </w:r>
    </w:p>
  </w:endnote>
  <w:endnote w:type="continuationSeparator" w:id="0">
    <w:p w14:paraId="1762FBE3" w14:textId="77777777" w:rsidR="00707B9B" w:rsidRDefault="00707B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12AD" w14:textId="77777777" w:rsidR="00392833" w:rsidRDefault="00392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CB63" w14:textId="367666BC" w:rsidR="00392833" w:rsidRPr="00392833" w:rsidRDefault="00392833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Cyfoeth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Naturiol</w:t>
    </w:r>
    <w:proofErr w:type="spellEnd"/>
    <w:r>
      <w:rPr>
        <w:sz w:val="16"/>
        <w:szCs w:val="16"/>
      </w:rPr>
      <w:t xml:space="preserve"> Cymru / Natural Resources Wales, Ty Cambria, 29 Newport Road, Cardiff CF24 0TP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CD5E" w14:textId="77777777" w:rsidR="00392833" w:rsidRDefault="00392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A151" w14:textId="77777777" w:rsidR="00707B9B" w:rsidRDefault="00707B9B">
      <w:pPr>
        <w:spacing w:before="0" w:after="0"/>
      </w:pPr>
      <w:r>
        <w:separator/>
      </w:r>
    </w:p>
  </w:footnote>
  <w:footnote w:type="continuationSeparator" w:id="0">
    <w:p w14:paraId="467F45E4" w14:textId="77777777" w:rsidR="00707B9B" w:rsidRDefault="00707B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B7F8" w14:textId="77777777" w:rsidR="00392833" w:rsidRDefault="00392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644D" w14:textId="77777777" w:rsidR="00392833" w:rsidRDefault="00392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FD6A" w14:textId="77777777" w:rsidR="00392833" w:rsidRDefault="00392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918025">
    <w:abstractNumId w:val="3"/>
  </w:num>
  <w:num w:numId="2" w16cid:durableId="1319505636">
    <w:abstractNumId w:val="2"/>
  </w:num>
  <w:num w:numId="3" w16cid:durableId="1895584349">
    <w:abstractNumId w:val="1"/>
  </w:num>
  <w:num w:numId="4" w16cid:durableId="2872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04C48"/>
    <w:rsid w:val="0003308C"/>
    <w:rsid w:val="00036962"/>
    <w:rsid w:val="000B3140"/>
    <w:rsid w:val="000B5A1F"/>
    <w:rsid w:val="000E3541"/>
    <w:rsid w:val="000F3230"/>
    <w:rsid w:val="00116817"/>
    <w:rsid w:val="0019209B"/>
    <w:rsid w:val="001B4B7D"/>
    <w:rsid w:val="001C1A4D"/>
    <w:rsid w:val="001C53D7"/>
    <w:rsid w:val="00206124"/>
    <w:rsid w:val="002360AB"/>
    <w:rsid w:val="00261239"/>
    <w:rsid w:val="002731AB"/>
    <w:rsid w:val="00275D3A"/>
    <w:rsid w:val="00275E27"/>
    <w:rsid w:val="00286847"/>
    <w:rsid w:val="002A0AEE"/>
    <w:rsid w:val="002A7145"/>
    <w:rsid w:val="002C25FA"/>
    <w:rsid w:val="002C2CD3"/>
    <w:rsid w:val="002D0DF8"/>
    <w:rsid w:val="0030322B"/>
    <w:rsid w:val="00344AFF"/>
    <w:rsid w:val="00355791"/>
    <w:rsid w:val="00357DC8"/>
    <w:rsid w:val="00392833"/>
    <w:rsid w:val="003D0FF3"/>
    <w:rsid w:val="003E297E"/>
    <w:rsid w:val="003F012F"/>
    <w:rsid w:val="0040322C"/>
    <w:rsid w:val="00430026"/>
    <w:rsid w:val="00444948"/>
    <w:rsid w:val="0044601A"/>
    <w:rsid w:val="004620A1"/>
    <w:rsid w:val="00465D0B"/>
    <w:rsid w:val="004733E8"/>
    <w:rsid w:val="00494001"/>
    <w:rsid w:val="004D36AF"/>
    <w:rsid w:val="004E5AA5"/>
    <w:rsid w:val="004F1D02"/>
    <w:rsid w:val="00534A5C"/>
    <w:rsid w:val="005515EF"/>
    <w:rsid w:val="005518DE"/>
    <w:rsid w:val="005568F5"/>
    <w:rsid w:val="0059472E"/>
    <w:rsid w:val="005D0DFE"/>
    <w:rsid w:val="005E41AB"/>
    <w:rsid w:val="005E5DB4"/>
    <w:rsid w:val="005E753E"/>
    <w:rsid w:val="0060151C"/>
    <w:rsid w:val="006108A4"/>
    <w:rsid w:val="0061110D"/>
    <w:rsid w:val="00613CAC"/>
    <w:rsid w:val="006164A6"/>
    <w:rsid w:val="006345CD"/>
    <w:rsid w:val="006442ED"/>
    <w:rsid w:val="00654F97"/>
    <w:rsid w:val="00665617"/>
    <w:rsid w:val="00672B5D"/>
    <w:rsid w:val="00684499"/>
    <w:rsid w:val="0068453E"/>
    <w:rsid w:val="0069263C"/>
    <w:rsid w:val="006D2DF1"/>
    <w:rsid w:val="006E7850"/>
    <w:rsid w:val="00707B9B"/>
    <w:rsid w:val="0072361B"/>
    <w:rsid w:val="00731D07"/>
    <w:rsid w:val="00740FA6"/>
    <w:rsid w:val="007565D2"/>
    <w:rsid w:val="00787C21"/>
    <w:rsid w:val="007D1B8E"/>
    <w:rsid w:val="007D23E4"/>
    <w:rsid w:val="007E14A1"/>
    <w:rsid w:val="007F0ECE"/>
    <w:rsid w:val="008025F4"/>
    <w:rsid w:val="00804AA7"/>
    <w:rsid w:val="00814EBC"/>
    <w:rsid w:val="008768F1"/>
    <w:rsid w:val="0088536D"/>
    <w:rsid w:val="008A4FC4"/>
    <w:rsid w:val="00920782"/>
    <w:rsid w:val="00927811"/>
    <w:rsid w:val="00933D58"/>
    <w:rsid w:val="00934D7B"/>
    <w:rsid w:val="009539F4"/>
    <w:rsid w:val="00963832"/>
    <w:rsid w:val="009760B2"/>
    <w:rsid w:val="009C4615"/>
    <w:rsid w:val="009C50F2"/>
    <w:rsid w:val="009D1E32"/>
    <w:rsid w:val="009E7509"/>
    <w:rsid w:val="009F5612"/>
    <w:rsid w:val="00A04410"/>
    <w:rsid w:val="00A244A0"/>
    <w:rsid w:val="00A3765C"/>
    <w:rsid w:val="00A41FAD"/>
    <w:rsid w:val="00A54270"/>
    <w:rsid w:val="00AA7368"/>
    <w:rsid w:val="00B065F8"/>
    <w:rsid w:val="00B42A27"/>
    <w:rsid w:val="00B51EC0"/>
    <w:rsid w:val="00B66C96"/>
    <w:rsid w:val="00B82F01"/>
    <w:rsid w:val="00B855DE"/>
    <w:rsid w:val="00BA030B"/>
    <w:rsid w:val="00BB694D"/>
    <w:rsid w:val="00BD1A81"/>
    <w:rsid w:val="00BE00CF"/>
    <w:rsid w:val="00BE2DDF"/>
    <w:rsid w:val="00C10818"/>
    <w:rsid w:val="00C377B0"/>
    <w:rsid w:val="00C462F9"/>
    <w:rsid w:val="00C90082"/>
    <w:rsid w:val="00C93D76"/>
    <w:rsid w:val="00C96DE2"/>
    <w:rsid w:val="00CB188F"/>
    <w:rsid w:val="00CB5E21"/>
    <w:rsid w:val="00CB77EB"/>
    <w:rsid w:val="00CC4F7B"/>
    <w:rsid w:val="00CD72DA"/>
    <w:rsid w:val="00CE6213"/>
    <w:rsid w:val="00D11433"/>
    <w:rsid w:val="00D13C93"/>
    <w:rsid w:val="00D17821"/>
    <w:rsid w:val="00D4147D"/>
    <w:rsid w:val="00D5344A"/>
    <w:rsid w:val="00D676BE"/>
    <w:rsid w:val="00D70DB7"/>
    <w:rsid w:val="00D81B4A"/>
    <w:rsid w:val="00D9212A"/>
    <w:rsid w:val="00D97B52"/>
    <w:rsid w:val="00DC313B"/>
    <w:rsid w:val="00DF0712"/>
    <w:rsid w:val="00E05A22"/>
    <w:rsid w:val="00E05FB9"/>
    <w:rsid w:val="00E24448"/>
    <w:rsid w:val="00E368CC"/>
    <w:rsid w:val="00E52637"/>
    <w:rsid w:val="00E84BA6"/>
    <w:rsid w:val="00EB470A"/>
    <w:rsid w:val="00EC62D6"/>
    <w:rsid w:val="00ED751D"/>
    <w:rsid w:val="00EE1BB5"/>
    <w:rsid w:val="00EF6ECC"/>
    <w:rsid w:val="00F10DE8"/>
    <w:rsid w:val="00F30028"/>
    <w:rsid w:val="00F310E7"/>
    <w:rsid w:val="00F34846"/>
    <w:rsid w:val="00F5445C"/>
    <w:rsid w:val="00F973FB"/>
    <w:rsid w:val="00FC39CB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137</cp:revision>
  <dcterms:created xsi:type="dcterms:W3CDTF">2022-05-13T11:16:00Z</dcterms:created>
  <dcterms:modified xsi:type="dcterms:W3CDTF">2023-04-19T07:51:00Z</dcterms:modified>
</cp:coreProperties>
</file>