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 w:rsidR="00D85FE4"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lastRenderedPageBreak/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3A316DD" w14:textId="1CF9BA4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>If the ID type is a company registration number, it must be either:</w:t>
            </w:r>
          </w:p>
          <w:p w14:paraId="4AB9D202" w14:textId="135A60A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A4F426" w14:textId="38E7B02F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8 digits</w:t>
            </w:r>
          </w:p>
          <w:p w14:paraId="5F2D594A" w14:textId="27472E52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2 letters, followed by 8 digits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based in more than 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Water supply; sewerage, waste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BF8B" w14:textId="77777777" w:rsidR="008F71EA" w:rsidRDefault="008F71EA" w:rsidP="00BC6389">
      <w:pPr>
        <w:spacing w:after="0" w:line="240" w:lineRule="auto"/>
      </w:pPr>
      <w:r>
        <w:separator/>
      </w:r>
    </w:p>
  </w:endnote>
  <w:endnote w:type="continuationSeparator" w:id="0">
    <w:p w14:paraId="148568A4" w14:textId="77777777" w:rsidR="008F71EA" w:rsidRDefault="008F71EA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fill o:detectmouseclick="t"/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CF89" w14:textId="77777777" w:rsidR="008F71EA" w:rsidRDefault="008F71EA" w:rsidP="00BC6389">
      <w:pPr>
        <w:spacing w:after="0" w:line="240" w:lineRule="auto"/>
      </w:pPr>
      <w:r>
        <w:separator/>
      </w:r>
    </w:p>
  </w:footnote>
  <w:footnote w:type="continuationSeparator" w:id="0">
    <w:p w14:paraId="08DD8166" w14:textId="77777777" w:rsidR="008F71EA" w:rsidRDefault="008F71EA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2612F5"/>
    <w:rsid w:val="00824916"/>
    <w:rsid w:val="00862669"/>
    <w:rsid w:val="008F71EA"/>
    <w:rsid w:val="00A6BF0D"/>
    <w:rsid w:val="00AC3F79"/>
    <w:rsid w:val="00BB2057"/>
    <w:rsid w:val="00BC6389"/>
    <w:rsid w:val="00C47D16"/>
    <w:rsid w:val="00CBEC8F"/>
    <w:rsid w:val="00D85FE4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2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Humphreys, Ryan</cp:lastModifiedBy>
  <cp:revision>13</cp:revision>
  <dcterms:created xsi:type="dcterms:W3CDTF">2020-12-16T14:46:00Z</dcterms:created>
  <dcterms:modified xsi:type="dcterms:W3CDTF">2024-02-29T11:31:00Z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