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X32b88652f42d9b74f4e968dc0ae2b1b7d0cfac7"/>
    <w:p>
      <w:pPr>
        <w:pStyle w:val="Heading1"/>
      </w:pPr>
      <w:r>
        <w:t xml:space="preserve">Financial Fraud Detection System: Integrating Anomaly Detection and Linguistic Modeling for Enhanced Financial Security</w:t>
      </w:r>
    </w:p>
    <w:bookmarkStart w:id="9" w:name="abstract"/>
    <w:p>
      <w:pPr>
        <w:pStyle w:val="Heading2"/>
      </w:pPr>
      <w:r>
        <w:t xml:space="preserve">Abstract</w:t>
      </w:r>
    </w:p>
    <w:p>
      <w:pPr>
        <w:pStyle w:val="FirstParagraph"/>
      </w:pPr>
      <w:r>
        <w:t xml:space="preserve">This study presents a comprehensive financial fraud detection system that combines traditional machine learning techniques with advanced deep learning approaches to identify fraudulent transactions. We address critical challenges in fraud detection including extreme class imbalance, feature interpretability, and algorithmic fairness. Our multi-model approach integrates autoencoder-based anomaly detection with ensemble classification methods and fine-tuned BERT-derived linguistic modeling, demonstrating significant improvements over baseline models. By introducing underexplored attributes such as behavioral signatures and inter-transaction temporal dynamics, this project advances beyond conventional fraud detection methodologies. Results indicate our system achieves exceptional performance on the Credit Card dataset (AUC 0.9730, AP 0.7102) while maintaining robust detection capability on the more complex IEEE-CIS dataset (AUC 0.8368, AP 0.3940). This research contributes to the development of effective, interpretable, and fair fraud detection systems for financial institutions.</w:t>
      </w:r>
    </w:p>
    <w:p>
      <w:pPr>
        <w:pStyle w:val="BodyText"/>
      </w:pPr>
      <w:r>
        <w:rPr>
          <w:b/>
          <w:bCs/>
        </w:rPr>
        <w:t xml:space="preserve">Keywords:</w:t>
      </w:r>
      <w:r>
        <w:t xml:space="preserve"> </w:t>
      </w:r>
      <w:r>
        <w:t xml:space="preserve">fraud detection, machine learning, deep learning, autoencoders, BERT, algorithmic fairness, class imbalance</w:t>
      </w:r>
    </w:p>
    <w:bookmarkEnd w:id="9"/>
    <w:bookmarkStart w:id="12" w:name="introduction"/>
    <w:p>
      <w:pPr>
        <w:pStyle w:val="Heading2"/>
      </w:pPr>
      <w:r>
        <w:t xml:space="preserve">1. Introduction</w:t>
      </w:r>
    </w:p>
    <w:p>
      <w:pPr>
        <w:pStyle w:val="FirstParagraph"/>
      </w:pPr>
      <w:r>
        <w:t xml:space="preserve">Financial fraud poses a significant challenge to banking institutions and payment processors, with global fraud losses exceeding $42 billion annually (Olowu et al., 2024). The complexity and evolving nature of fraudulent activities necessitate sophisticated detection systems that can identify subtle patterns while minimizing false positives that could impact legitimate customers.</w:t>
      </w:r>
    </w:p>
    <w:p>
      <w:pPr>
        <w:pStyle w:val="BodyText"/>
      </w:pPr>
      <w:r>
        <w:t xml:space="preserve">Traditional rule-based systems have proven inadequate for detecting modern fraud schemes, leading to increased adoption of machine learning approaches. However, these approaches face several challenges:</w:t>
      </w:r>
      <w:r>
        <w:t xml:space="preserve"> </w:t>
      </w:r>
      <w:r>
        <w:t xml:space="preserve">- Extreme class imbalance in financial datasets (often less than 0.2% fraud)</w:t>
      </w:r>
      <w:r>
        <w:t xml:space="preserve"> </w:t>
      </w:r>
      <w:r>
        <w:t xml:space="preserve">- The</w:t>
      </w:r>
      <w:r>
        <w:t xml:space="preserve"> </w:t>
      </w:r>
      <w:r>
        <w:t xml:space="preserve">“black box”</w:t>
      </w:r>
      <w:r>
        <w:t xml:space="preserve"> </w:t>
      </w:r>
      <w:r>
        <w:t xml:space="preserve">nature of complex models that hinders interpretability</w:t>
      </w:r>
      <w:r>
        <w:t xml:space="preserve"> </w:t>
      </w:r>
      <w:r>
        <w:t xml:space="preserve">- Potential algorithmic bias that could disproportionately affect certain customer segments</w:t>
      </w:r>
      <w:r>
        <w:t xml:space="preserve"> </w:t>
      </w:r>
      <w:r>
        <w:t xml:space="preserve">- Overlooked attributes such as transaction interdependencies and temporal dynamics</w:t>
      </w:r>
    </w:p>
    <w:p>
      <w:pPr>
        <w:pStyle w:val="BodyText"/>
      </w:pPr>
      <w:r>
        <w:t xml:space="preserve">This paper presents our research on developing a comprehensive fraud detection system that addresses these challenges through a multi-model approach combining unsupervised anomaly detection with supervised classification and linguistic modeling.</w:t>
      </w:r>
    </w:p>
    <w:bookmarkStart w:id="10" w:name="research-hypothesis"/>
    <w:p>
      <w:pPr>
        <w:pStyle w:val="Heading3"/>
      </w:pPr>
      <w:r>
        <w:t xml:space="preserve">1.1 Research Hypothesis</w:t>
      </w:r>
    </w:p>
    <w:p>
      <w:pPr>
        <w:pStyle w:val="FirstParagraph"/>
      </w:pPr>
      <w:r>
        <w:t xml:space="preserve">Our central hypothesis is that a multi-model approach combining autoencoder-based anomaly detection with BERT-derived linguistic analysis will significantly outperform traditional single-model approaches in fraud detection while maintaining fairness across different transaction groups. Specifically, we hypothesize that:</w:t>
      </w:r>
    </w:p>
    <w:p>
      <w:pPr>
        <w:pStyle w:val="Compact"/>
        <w:numPr>
          <w:ilvl w:val="0"/>
          <w:numId w:val="1001"/>
        </w:numPr>
      </w:pPr>
      <w:r>
        <w:t xml:space="preserve">Autoencoder reconstruction errors provide valuable signals for detecting anomalous transactions that might be missed by supervised models alone</w:t>
      </w:r>
    </w:p>
    <w:p>
      <w:pPr>
        <w:pStyle w:val="Compact"/>
        <w:numPr>
          <w:ilvl w:val="0"/>
          <w:numId w:val="1001"/>
        </w:numPr>
      </w:pPr>
      <w:r>
        <w:t xml:space="preserve">Linguistic patterns in transaction descriptions contain subtle fraud indicators that can be captured through fine-tuned language models</w:t>
      </w:r>
    </w:p>
    <w:p>
      <w:pPr>
        <w:pStyle w:val="Compact"/>
        <w:numPr>
          <w:ilvl w:val="0"/>
          <w:numId w:val="1001"/>
        </w:numPr>
      </w:pPr>
      <w:r>
        <w:t xml:space="preserve">The combination of these approaches will yield higher precision and recall than either approach individually</w:t>
      </w:r>
    </w:p>
    <w:p>
      <w:pPr>
        <w:pStyle w:val="Compact"/>
        <w:numPr>
          <w:ilvl w:val="0"/>
          <w:numId w:val="1001"/>
        </w:numPr>
      </w:pPr>
      <w:r>
        <w:t xml:space="preserve">Fairness constraints can be incorporated without significantly compromising model performance</w:t>
      </w:r>
    </w:p>
    <w:bookmarkEnd w:id="10"/>
    <w:bookmarkStart w:id="11" w:name="contributions"/>
    <w:p>
      <w:pPr>
        <w:pStyle w:val="Heading3"/>
      </w:pPr>
      <w:r>
        <w:t xml:space="preserve">1.2 Contributions</w:t>
      </w:r>
    </w:p>
    <w:p>
      <w:pPr>
        <w:pStyle w:val="FirstParagraph"/>
      </w:pPr>
      <w:r>
        <w:t xml:space="preserve">We make the following contributions:</w:t>
      </w:r>
    </w:p>
    <w:p>
      <w:pPr>
        <w:pStyle w:val="Compact"/>
        <w:numPr>
          <w:ilvl w:val="0"/>
          <w:numId w:val="1002"/>
        </w:numPr>
      </w:pPr>
      <w:r>
        <w:t xml:space="preserve">A novel framework that leverages autoencoder reconstruction errors as features for downstream classification models</w:t>
      </w:r>
    </w:p>
    <w:p>
      <w:pPr>
        <w:pStyle w:val="Compact"/>
        <w:numPr>
          <w:ilvl w:val="0"/>
          <w:numId w:val="1002"/>
        </w:numPr>
      </w:pPr>
      <w:r>
        <w:t xml:space="preserve">Fine-tuning of a BERT-derived model (FinBERT) to classify fraud-related descriptions and identify subtle linguistic cues</w:t>
      </w:r>
    </w:p>
    <w:p>
      <w:pPr>
        <w:pStyle w:val="Compact"/>
        <w:numPr>
          <w:ilvl w:val="0"/>
          <w:numId w:val="1002"/>
        </w:numPr>
      </w:pPr>
      <w:r>
        <w:t xml:space="preserve">Exploration of underutilized attributes such as behavioral frequency, temporal dynamics, and contextual data</w:t>
      </w:r>
    </w:p>
    <w:p>
      <w:pPr>
        <w:pStyle w:val="Compact"/>
        <w:numPr>
          <w:ilvl w:val="0"/>
          <w:numId w:val="1002"/>
        </w:numPr>
      </w:pPr>
      <w:r>
        <w:t xml:space="preserve">A comprehensive fairness evaluation methodology that assesses bias across demographic groups and transaction characteristics</w:t>
      </w:r>
    </w:p>
    <w:p>
      <w:pPr>
        <w:pStyle w:val="Compact"/>
        <w:numPr>
          <w:ilvl w:val="0"/>
          <w:numId w:val="1002"/>
        </w:numPr>
      </w:pPr>
      <w:r>
        <w:t xml:space="preserve">An interpretable visualization approach that helps fraud analysts understand model decisions</w:t>
      </w:r>
    </w:p>
    <w:p>
      <w:pPr>
        <w:pStyle w:val="Compact"/>
        <w:numPr>
          <w:ilvl w:val="0"/>
          <w:numId w:val="1002"/>
        </w:numPr>
      </w:pPr>
      <w:r>
        <w:t xml:space="preserve">Empirical evidence demonstrating the effectiveness of our approach on real-world financial transaction data</w:t>
      </w:r>
    </w:p>
    <w:bookmarkEnd w:id="11"/>
    <w:bookmarkEnd w:id="12"/>
    <w:bookmarkStart w:id="16" w:name="dataset-analysis"/>
    <w:p>
      <w:pPr>
        <w:pStyle w:val="Heading2"/>
      </w:pPr>
      <w:r>
        <w:t xml:space="preserve">2. Dataset Analysis</w:t>
      </w:r>
    </w:p>
    <w:bookmarkStart w:id="13" w:name="data-sources-and-characteristics"/>
    <w:p>
      <w:pPr>
        <w:pStyle w:val="Heading3"/>
      </w:pPr>
      <w:r>
        <w:t xml:space="preserve">2.1 Data Sources and Characteristics</w:t>
      </w:r>
    </w:p>
    <w:p>
      <w:pPr>
        <w:pStyle w:val="FirstParagraph"/>
      </w:pPr>
      <w:r>
        <w:t xml:space="preserve">Our analysis utilized multiple datasets to ensure robust training and evaluation:</w:t>
      </w:r>
    </w:p>
    <w:p>
      <w:pPr>
        <w:pStyle w:val="Compact"/>
        <w:numPr>
          <w:ilvl w:val="0"/>
          <w:numId w:val="1003"/>
        </w:numPr>
      </w:pPr>
      <w:r>
        <w:rPr>
          <w:b/>
          <w:bCs/>
        </w:rPr>
        <w:t xml:space="preserve">IEEE-CIS Fraud Detection Dataset (Kaggle, 2020)</w:t>
      </w:r>
      <w:r>
        <w:t xml:space="preserve">: A large-scale dataset containing anonymized transaction records with numerical and categorical features</w:t>
      </w:r>
    </w:p>
    <w:p>
      <w:pPr>
        <w:pStyle w:val="Compact"/>
        <w:numPr>
          <w:ilvl w:val="0"/>
          <w:numId w:val="1003"/>
        </w:numPr>
      </w:pPr>
      <w:r>
        <w:rPr>
          <w:b/>
          <w:bCs/>
        </w:rPr>
        <w:t xml:space="preserve">Credit Card Fraud Detection Dataset (Kaggle, 2018)</w:t>
      </w:r>
      <w:r>
        <w:t xml:space="preserve">: A dataset of credit card transactions made by European cardholders in September 2013, containing numerical features derived from PCA transformation</w:t>
      </w:r>
    </w:p>
    <w:p>
      <w:pPr>
        <w:pStyle w:val="Compact"/>
        <w:numPr>
          <w:ilvl w:val="0"/>
          <w:numId w:val="1003"/>
        </w:numPr>
      </w:pPr>
      <w:r>
        <w:rPr>
          <w:b/>
          <w:bCs/>
        </w:rPr>
        <w:t xml:space="preserve">AI-Powered Banking Fraud Detection Dataset (Talha, 2023)</w:t>
      </w:r>
      <w:r>
        <w:t xml:space="preserve">: A synthetic dataset including transaction descriptions and fraud labels, suitable for fine-tuning FinBERT</w:t>
      </w:r>
    </w:p>
    <w:p>
      <w:pPr>
        <w:pStyle w:val="FirstParagraph"/>
      </w:pPr>
      <w:r>
        <w:t xml:space="preserve">The Credit Card dataset proved particularly valuable for establishing baseline performance due to its:</w:t>
      </w:r>
      <w:r>
        <w:t xml:space="preserve"> </w:t>
      </w:r>
      <w:r>
        <w:t xml:space="preserve">- Well-defined feature set with PCA-transformed variables</w:t>
      </w:r>
      <w:r>
        <w:t xml:space="preserve"> </w:t>
      </w:r>
      <w:r>
        <w:t xml:space="preserve">- Extreme class imbalance (0.172% fraud rate) representative of real-world scenarios</w:t>
      </w:r>
      <w:r>
        <w:t xml:space="preserve"> </w:t>
      </w:r>
      <w:r>
        <w:t xml:space="preserve">- Temporal information allowing for time-based analysis</w:t>
      </w:r>
    </w:p>
    <w:p>
      <w:pPr>
        <w:pStyle w:val="BodyText"/>
      </w:pPr>
      <w:r>
        <w:t xml:space="preserve">The IEEE-CIS dataset presented additional challenges with its:</w:t>
      </w:r>
      <w:r>
        <w:t xml:space="preserve"> </w:t>
      </w:r>
      <w:r>
        <w:t xml:space="preserve">- Complex feature structure with many categorical variables</w:t>
      </w:r>
      <w:r>
        <w:t xml:space="preserve"> </w:t>
      </w:r>
      <w:r>
        <w:t xml:space="preserve">- Larger scale requiring memory optimization techniques</w:t>
      </w:r>
      <w:r>
        <w:t xml:space="preserve"> </w:t>
      </w:r>
      <w:r>
        <w:t xml:space="preserve">- More diverse transaction types requiring sophisticated feature engineering</w:t>
      </w:r>
    </w:p>
    <w:p>
      <w:pPr>
        <w:pStyle w:val="BodyText"/>
      </w:pPr>
      <w:r>
        <w:t xml:space="preserve">These datasets exhibited the following characteristics:</w:t>
      </w:r>
    </w:p>
    <w:p>
      <w:pPr>
        <w:pStyle w:val="Compact"/>
        <w:numPr>
          <w:ilvl w:val="0"/>
          <w:numId w:val="1004"/>
        </w:numPr>
      </w:pPr>
      <w:r>
        <w:rPr>
          <w:b/>
          <w:bCs/>
        </w:rPr>
        <w:t xml:space="preserve">Credit Card Dataset</w:t>
      </w:r>
      <w:r>
        <w:t xml:space="preserve">:</w:t>
      </w:r>
    </w:p>
    <w:p>
      <w:pPr>
        <w:pStyle w:val="Compact"/>
        <w:numPr>
          <w:ilvl w:val="1"/>
          <w:numId w:val="1005"/>
        </w:numPr>
      </w:pPr>
      <w:r>
        <w:t xml:space="preserve">Size: 284,807 transactions with 31 features</w:t>
      </w:r>
    </w:p>
    <w:p>
      <w:pPr>
        <w:pStyle w:val="Compact"/>
        <w:numPr>
          <w:ilvl w:val="1"/>
          <w:numId w:val="1005"/>
        </w:numPr>
      </w:pPr>
      <w:r>
        <w:t xml:space="preserve">Class Distribution:</w:t>
      </w:r>
    </w:p>
    <w:p>
      <w:pPr>
        <w:pStyle w:val="Compact"/>
        <w:numPr>
          <w:ilvl w:val="2"/>
          <w:numId w:val="1006"/>
        </w:numPr>
      </w:pPr>
      <w:r>
        <w:t xml:space="preserve">Normal transactions: 284,315 (99.828%)</w:t>
      </w:r>
    </w:p>
    <w:p>
      <w:pPr>
        <w:pStyle w:val="Compact"/>
        <w:numPr>
          <w:ilvl w:val="2"/>
          <w:numId w:val="1006"/>
        </w:numPr>
      </w:pPr>
      <w:r>
        <w:t xml:space="preserve">Fraudulent transactions: 492 (0.172%)</w:t>
      </w:r>
    </w:p>
    <w:p>
      <w:pPr>
        <w:pStyle w:val="Compact"/>
        <w:numPr>
          <w:ilvl w:val="0"/>
          <w:numId w:val="1004"/>
        </w:numPr>
      </w:pPr>
      <w:r>
        <w:rPr>
          <w:b/>
          <w:bCs/>
        </w:rPr>
        <w:t xml:space="preserve">IEEE-CIS Dataset</w:t>
      </w:r>
      <w:r>
        <w:t xml:space="preserve">:</w:t>
      </w:r>
    </w:p>
    <w:p>
      <w:pPr>
        <w:pStyle w:val="Compact"/>
        <w:numPr>
          <w:ilvl w:val="1"/>
          <w:numId w:val="1007"/>
        </w:numPr>
      </w:pPr>
      <w:r>
        <w:t xml:space="preserve">Size: 590,540 transactions with over 400 features</w:t>
      </w:r>
    </w:p>
    <w:p>
      <w:pPr>
        <w:pStyle w:val="Compact"/>
        <w:numPr>
          <w:ilvl w:val="1"/>
          <w:numId w:val="1007"/>
        </w:numPr>
      </w:pPr>
      <w:r>
        <w:t xml:space="preserve">Class Distribution:</w:t>
      </w:r>
    </w:p>
    <w:p>
      <w:pPr>
        <w:pStyle w:val="Compact"/>
        <w:numPr>
          <w:ilvl w:val="2"/>
          <w:numId w:val="1008"/>
        </w:numPr>
      </w:pPr>
      <w:r>
        <w:t xml:space="preserve">Normal transactions: 569,877 (96.5%)</w:t>
      </w:r>
    </w:p>
    <w:p>
      <w:pPr>
        <w:pStyle w:val="Compact"/>
        <w:numPr>
          <w:ilvl w:val="2"/>
          <w:numId w:val="1008"/>
        </w:numPr>
      </w:pPr>
      <w:r>
        <w:t xml:space="preserve">Fraudulent transactions: 20,663 (3.5%)</w:t>
      </w:r>
    </w:p>
    <w:p>
      <w:pPr>
        <w:pStyle w:val="FirstParagraph"/>
      </w:pPr>
      <w:r>
        <w:t xml:space="preserve">The significant class imbalance, particularly in the Credit Card dataset, reflects a challenging but realistic scenario for fraud detection in financial systems. This extreme imbalance required specialized techniques to prevent majority class dominance.</w:t>
      </w:r>
    </w:p>
    <w:p>
      <w:pPr>
        <w:pStyle w:val="BlockText"/>
      </w:pPr>
      <w:r>
        <w:rPr>
          <w:b/>
          <w:bCs/>
        </w:rPr>
        <w:t xml:space="preserve">Research Note:</w:t>
      </w:r>
      <w:r>
        <w:t xml:space="preserve"> </w:t>
      </w:r>
      <w:r>
        <w:t xml:space="preserve">We initially attempted to use the raw datasets without addressing class imbalance, which resulted in suboptimal model performance. This highlighted the critical importance of proper sampling techniques.</w:t>
      </w:r>
    </w:p>
    <w:bookmarkEnd w:id="13"/>
    <w:bookmarkStart w:id="14" w:name="transaction-patterns"/>
    <w:p>
      <w:pPr>
        <w:pStyle w:val="Heading3"/>
      </w:pPr>
      <w:r>
        <w:t xml:space="preserve">2.2 Transaction Patterns</w:t>
      </w:r>
    </w:p>
    <w:p>
      <w:pPr>
        <w:pStyle w:val="FirstParagraph"/>
      </w:pPr>
      <w:r>
        <w:t xml:space="preserve">Our exploratory data analysis revealed several interesting patterns:</w:t>
      </w:r>
    </w:p>
    <w:p>
      <w:pPr>
        <w:pStyle w:val="Compact"/>
        <w:numPr>
          <w:ilvl w:val="0"/>
          <w:numId w:val="1009"/>
        </w:numPr>
      </w:pPr>
      <w:r>
        <w:rPr>
          <w:b/>
          <w:bCs/>
        </w:rPr>
        <w:t xml:space="preserve">Temporal Distribution</w:t>
      </w:r>
      <w:r>
        <w:t xml:space="preserve">: Night transactions account for 23% of fraudulent activity versus only 7% of normal transactions</w:t>
      </w:r>
    </w:p>
    <w:p>
      <w:pPr>
        <w:pStyle w:val="Compact"/>
        <w:numPr>
          <w:ilvl w:val="0"/>
          <w:numId w:val="1009"/>
        </w:numPr>
      </w:pPr>
      <w:r>
        <w:rPr>
          <w:b/>
          <w:bCs/>
        </w:rPr>
        <w:t xml:space="preserve">Amount Distribution</w:t>
      </w:r>
      <w:r>
        <w:t xml:space="preserve">: Transaction amounts for fraud cases showed distinct patterns from legitimate transactions</w:t>
      </w:r>
    </w:p>
    <w:p>
      <w:pPr>
        <w:pStyle w:val="Compact"/>
        <w:numPr>
          <w:ilvl w:val="0"/>
          <w:numId w:val="1009"/>
        </w:numPr>
      </w:pPr>
      <w:r>
        <w:rPr>
          <w:b/>
          <w:bCs/>
        </w:rPr>
        <w:t xml:space="preserve">PCA Components</w:t>
      </w:r>
      <w:r>
        <w:t xml:space="preserve">: In the Credit Card dataset, certain principal components (V4, V11, V14, V17) showed strong discriminative power between fraud and legitimate transactions</w:t>
      </w:r>
    </w:p>
    <w:p>
      <w:pPr>
        <w:pStyle w:val="FirstParagraph"/>
      </w:pPr>
      <w:r>
        <w:t xml:space="preserve">These distinct patterns provided a foundation for our feature engineering process, enabling the creation of discriminative features that capture the subtle differences between legitimate and fraudulent transactions.</w:t>
      </w:r>
    </w:p>
    <w:p>
      <w:pPr>
        <w:pStyle w:val="BodyText"/>
      </w:pPr>
      <w:r>
        <w:t xml:space="preserve">Amount Analysis</w:t>
      </w:r>
      <w:r>
        <w:t xml:space="preserve"> </w:t>
      </w:r>
      <w:r>
        <w:rPr>
          <w:i/>
          <w:iCs/>
        </w:rPr>
        <w:t xml:space="preserve">Figure 1: PCA scatter plot showing separation between fraudulent and legitimate transactions in the Credit Card dataset, with fraud cases (red) exhibiting distinct clustering patterns from normal transactions (blue).</w:t>
      </w:r>
    </w:p>
    <w:bookmarkEnd w:id="14"/>
    <w:bookmarkStart w:id="15" w:name="feature-importance-analysis"/>
    <w:p>
      <w:pPr>
        <w:pStyle w:val="Heading3"/>
      </w:pPr>
      <w:r>
        <w:t xml:space="preserve">2.3 Feature Importance Analysis</w:t>
      </w:r>
    </w:p>
    <w:p>
      <w:pPr>
        <w:pStyle w:val="FirstParagraph"/>
      </w:pPr>
      <w:r>
        <w:t xml:space="preserve">Our correlation analysis identified several features strongly associated with fraudulent transactions:</w:t>
      </w:r>
    </w:p>
    <w:p>
      <w:pPr>
        <w:pStyle w:val="Compact"/>
        <w:numPr>
          <w:ilvl w:val="0"/>
          <w:numId w:val="1010"/>
        </w:numPr>
      </w:pPr>
      <w:r>
        <w:rPr>
          <w:b/>
          <w:bCs/>
        </w:rPr>
        <w:t xml:space="preserve">V17</w:t>
      </w:r>
      <w:r>
        <w:t xml:space="preserve"> </w:t>
      </w:r>
      <w:r>
        <w:t xml:space="preserve">(-0.33): Strong negative correlation with fraud in Credit Card dataset</w:t>
      </w:r>
    </w:p>
    <w:p>
      <w:pPr>
        <w:pStyle w:val="Compact"/>
        <w:numPr>
          <w:ilvl w:val="0"/>
          <w:numId w:val="1010"/>
        </w:numPr>
      </w:pPr>
      <w:r>
        <w:rPr>
          <w:b/>
          <w:bCs/>
        </w:rPr>
        <w:t xml:space="preserve">V14</w:t>
      </w:r>
      <w:r>
        <w:t xml:space="preserve"> </w:t>
      </w:r>
      <w:r>
        <w:t xml:space="preserve">(-0.28): Strong negative correlation with fraud in Credit Card dataset</w:t>
      </w:r>
    </w:p>
    <w:p>
      <w:pPr>
        <w:pStyle w:val="Compact"/>
        <w:numPr>
          <w:ilvl w:val="0"/>
          <w:numId w:val="1010"/>
        </w:numPr>
      </w:pPr>
      <w:r>
        <w:rPr>
          <w:b/>
          <w:bCs/>
        </w:rPr>
        <w:t xml:space="preserve">V12</w:t>
      </w:r>
      <w:r>
        <w:t xml:space="preserve"> </w:t>
      </w:r>
      <w:r>
        <w:t xml:space="preserve">(-0.22): Moderate negative correlation with fraud in Credit Card dataset</w:t>
      </w:r>
    </w:p>
    <w:p>
      <w:pPr>
        <w:pStyle w:val="Compact"/>
        <w:numPr>
          <w:ilvl w:val="0"/>
          <w:numId w:val="1010"/>
        </w:numPr>
      </w:pPr>
      <w:r>
        <w:rPr>
          <w:b/>
          <w:bCs/>
        </w:rPr>
        <w:t xml:space="preserve">V10</w:t>
      </w:r>
      <w:r>
        <w:t xml:space="preserve"> </w:t>
      </w:r>
      <w:r>
        <w:t xml:space="preserve">(-0.19): Moderate negative correlation with fraud in Credit Card dataset</w:t>
      </w:r>
    </w:p>
    <w:p>
      <w:pPr>
        <w:pStyle w:val="Compact"/>
        <w:numPr>
          <w:ilvl w:val="0"/>
          <w:numId w:val="1010"/>
        </w:numPr>
      </w:pPr>
      <w:r>
        <w:rPr>
          <w:b/>
          <w:bCs/>
        </w:rPr>
        <w:t xml:space="preserve">Reconstruction_Error</w:t>
      </w:r>
      <w:r>
        <w:t xml:space="preserve"> </w:t>
      </w:r>
      <w:r>
        <w:t xml:space="preserve">(0.17): Positive correlation between autoencoder reconstruction error and fraud label</w:t>
      </w:r>
    </w:p>
    <w:p>
      <w:pPr>
        <w:pStyle w:val="FirstParagraph"/>
      </w:pPr>
      <w:r>
        <w:t xml:space="preserve">The prominence of both original PCA features and engineered features in this ranking underscores the importance of combining domain-specific feature engineering with existing transformed variables in fraud detection systems.</w:t>
      </w:r>
    </w:p>
    <w:p>
      <w:pPr>
        <w:pStyle w:val="BodyText"/>
      </w:pPr>
      <w:r>
        <w:t xml:space="preserve">Feature Importance</w:t>
      </w:r>
      <w:r>
        <w:t xml:space="preserve"> </w:t>
      </w:r>
      <w:r>
        <w:rPr>
          <w:i/>
          <w:iCs/>
        </w:rPr>
        <w:t xml:space="preserve">Figure 2: Feature importance analysis showing correlation strength with fraud label across multiple feature categories in the Credit Card dataset.</w:t>
      </w:r>
    </w:p>
    <w:bookmarkEnd w:id="15"/>
    <w:bookmarkEnd w:id="16"/>
    <w:bookmarkStart w:id="17" w:name="research-objectives"/>
    <w:p>
      <w:pPr>
        <w:pStyle w:val="Heading2"/>
      </w:pPr>
      <w:r>
        <w:t xml:space="preserve">3. Research Objectives</w:t>
      </w:r>
    </w:p>
    <w:p>
      <w:pPr>
        <w:pStyle w:val="FirstParagraph"/>
      </w:pPr>
      <w:r>
        <w:t xml:space="preserve">The primary objectives of this research included:</w:t>
      </w:r>
    </w:p>
    <w:p>
      <w:pPr>
        <w:pStyle w:val="Compact"/>
        <w:numPr>
          <w:ilvl w:val="0"/>
          <w:numId w:val="1011"/>
        </w:numPr>
      </w:pPr>
      <w:r>
        <w:t xml:space="preserve">Designing an optimized LightGBM model with hyperparameter tuning to serve as the foundation for fraud detection</w:t>
      </w:r>
    </w:p>
    <w:p>
      <w:pPr>
        <w:pStyle w:val="Compact"/>
        <w:numPr>
          <w:ilvl w:val="0"/>
          <w:numId w:val="1011"/>
        </w:numPr>
      </w:pPr>
      <w:r>
        <w:t xml:space="preserve">Implementing autoencoder models to identify anomalies in transaction data, focusing on inter-transaction patterns and temporal dynamics</w:t>
      </w:r>
    </w:p>
    <w:p>
      <w:pPr>
        <w:pStyle w:val="Compact"/>
        <w:numPr>
          <w:ilvl w:val="0"/>
          <w:numId w:val="1011"/>
        </w:numPr>
      </w:pPr>
      <w:r>
        <w:t xml:space="preserve">Fine-tuning a BERT-derived model (FinBERT) to classify fraud-related descriptions and identify subtle linguistic cues indicative of fraudulent behavior</w:t>
      </w:r>
    </w:p>
    <w:p>
      <w:pPr>
        <w:pStyle w:val="Compact"/>
        <w:numPr>
          <w:ilvl w:val="0"/>
          <w:numId w:val="1011"/>
        </w:numPr>
      </w:pPr>
      <w:r>
        <w:t xml:space="preserve">Addressing class imbalance through SMOTE and other advanced balancing techniques</w:t>
      </w:r>
    </w:p>
    <w:p>
      <w:pPr>
        <w:pStyle w:val="Compact"/>
        <w:numPr>
          <w:ilvl w:val="0"/>
          <w:numId w:val="1011"/>
        </w:numPr>
      </w:pPr>
      <w:r>
        <w:t xml:space="preserve">Evaluating model performance using robust statistical metrics while ensuring a balance between accuracy and practical applicability</w:t>
      </w:r>
    </w:p>
    <w:p>
      <w:pPr>
        <w:pStyle w:val="Compact"/>
        <w:numPr>
          <w:ilvl w:val="0"/>
          <w:numId w:val="1011"/>
        </w:numPr>
      </w:pPr>
      <w:r>
        <w:t xml:space="preserve">Implementing fairness auditing and explainability frameworks to align the system with ethical AI principles</w:t>
      </w:r>
    </w:p>
    <w:bookmarkEnd w:id="17"/>
    <w:bookmarkStart w:id="24" w:name="methodology"/>
    <w:p>
      <w:pPr>
        <w:pStyle w:val="Heading2"/>
      </w:pPr>
      <w:r>
        <w:t xml:space="preserve">4. Methodology</w:t>
      </w:r>
    </w:p>
    <w:bookmarkStart w:id="18" w:name="multi-model-architecture"/>
    <w:p>
      <w:pPr>
        <w:pStyle w:val="Heading3"/>
      </w:pPr>
      <w:r>
        <w:t xml:space="preserve">4.1 Multi-Model Architecture</w:t>
      </w:r>
    </w:p>
    <w:p>
      <w:pPr>
        <w:pStyle w:val="FirstParagraph"/>
      </w:pPr>
      <w:r>
        <w:t xml:space="preserve">Our fraud detection system employs a multi-layered approach:</w:t>
      </w:r>
    </w:p>
    <w:p>
      <w:pPr>
        <w:pStyle w:val="Compact"/>
        <w:numPr>
          <w:ilvl w:val="0"/>
          <w:numId w:val="1012"/>
        </w:numPr>
      </w:pPr>
      <w:r>
        <w:rPr>
          <w:b/>
          <w:bCs/>
        </w:rPr>
        <w:t xml:space="preserve">Anomaly Detection Layer</w:t>
      </w:r>
      <w:r>
        <w:t xml:space="preserve">: Autoencoder neural networks trained exclusively on legitimate transactions to identify deviations from normal patterns</w:t>
      </w:r>
    </w:p>
    <w:p>
      <w:pPr>
        <w:pStyle w:val="Compact"/>
        <w:numPr>
          <w:ilvl w:val="0"/>
          <w:numId w:val="1012"/>
        </w:numPr>
      </w:pPr>
      <w:r>
        <w:rPr>
          <w:b/>
          <w:bCs/>
        </w:rPr>
        <w:t xml:space="preserve">Linguistic Analysis Layer</w:t>
      </w:r>
      <w:r>
        <w:t xml:space="preserve">: Fine-tuned FinBERT model that processes transaction descriptions to identify fraud-related language patterns</w:t>
      </w:r>
    </w:p>
    <w:p>
      <w:pPr>
        <w:pStyle w:val="Compact"/>
        <w:numPr>
          <w:ilvl w:val="0"/>
          <w:numId w:val="1012"/>
        </w:numPr>
      </w:pPr>
      <w:r>
        <w:rPr>
          <w:b/>
          <w:bCs/>
        </w:rPr>
        <w:t xml:space="preserve">Classification Layer</w:t>
      </w:r>
      <w:r>
        <w:t xml:space="preserve">: LightGBM model that incorporates both autoencoder reconstruction errors and BERT embeddings as features</w:t>
      </w:r>
    </w:p>
    <w:p>
      <w:pPr>
        <w:pStyle w:val="Compact"/>
        <w:numPr>
          <w:ilvl w:val="0"/>
          <w:numId w:val="1012"/>
        </w:numPr>
      </w:pPr>
      <w:r>
        <w:rPr>
          <w:b/>
          <w:bCs/>
        </w:rPr>
        <w:t xml:space="preserve">Decision Optimization Layer</w:t>
      </w:r>
      <w:r>
        <w:t xml:space="preserve">: Threshold optimization that balances precision and recall based on financial impact analysis</w:t>
      </w:r>
    </w:p>
    <w:p>
      <w:pPr>
        <w:pStyle w:val="FirstParagraph"/>
      </w:pPr>
      <w:r>
        <w:t xml:space="preserve">This architecture leverages the complementary strengths of different modeling approaches—unsupervised learning captures subtle anomalies, NLP extracts insights from text data, and supervised learning provides classification confidence and interpretability.</w:t>
      </w:r>
    </w:p>
    <w:p>
      <w:pPr>
        <w:pStyle w:val="BlockText"/>
      </w:pPr>
      <w:r>
        <w:rPr>
          <w:b/>
          <w:bCs/>
        </w:rPr>
        <w:t xml:space="preserve">Implementation Challenge:</w:t>
      </w:r>
      <w:r>
        <w:t xml:space="preserve"> </w:t>
      </w:r>
      <w:r>
        <w:t xml:space="preserve">We initially tried a single deep neural network to handle both structured data and text, but found that the separate models with specialized architectures performed much better. The unified approach struggled to effectively learn from both data types simultaneously.</w:t>
      </w:r>
    </w:p>
    <w:p>
      <w:pPr>
        <w:pStyle w:val="FirstParagraph"/>
      </w:pPr>
      <w:r>
        <w:t xml:space="preserve">Model Comparison</w:t>
      </w:r>
      <w:r>
        <w:t xml:space="preserve"> </w:t>
      </w:r>
      <w:r>
        <w:rPr>
          <w:i/>
          <w:iCs/>
        </w:rPr>
        <w:t xml:space="preserve">Figure 3: ROC curve showing the exceptional performance of our model on the Credit Card dataset with AUC of 0.9730, demonstrating the effectiveness of the multi-model approach.</w:t>
      </w:r>
    </w:p>
    <w:bookmarkEnd w:id="18"/>
    <w:bookmarkStart w:id="19" w:name="autoencoder-implementation"/>
    <w:p>
      <w:pPr>
        <w:pStyle w:val="Heading3"/>
      </w:pPr>
      <w:r>
        <w:t xml:space="preserve">4.2 Autoencoder Implementation</w:t>
      </w:r>
    </w:p>
    <w:p>
      <w:pPr>
        <w:pStyle w:val="FirstParagraph"/>
      </w:pPr>
      <w:r>
        <w:t xml:space="preserve">We implemented a deep autoencoder with the following architecture:</w:t>
      </w:r>
    </w:p>
    <w:p>
      <w:pPr>
        <w:pStyle w:val="Compact"/>
        <w:numPr>
          <w:ilvl w:val="0"/>
          <w:numId w:val="1013"/>
        </w:numPr>
      </w:pPr>
      <w:r>
        <w:rPr>
          <w:b/>
          <w:bCs/>
        </w:rPr>
        <w:t xml:space="preserve">Input Layer</w:t>
      </w:r>
      <w:r>
        <w:t xml:space="preserve">: Matches the dimensionality of preprocessed transaction features (20 components after PCA)</w:t>
      </w:r>
    </w:p>
    <w:p>
      <w:pPr>
        <w:pStyle w:val="Compact"/>
        <w:numPr>
          <w:ilvl w:val="0"/>
          <w:numId w:val="1013"/>
        </w:numPr>
      </w:pPr>
      <w:r>
        <w:rPr>
          <w:b/>
          <w:bCs/>
        </w:rPr>
        <w:t xml:space="preserve">Encoder</w:t>
      </w:r>
      <w:r>
        <w:t xml:space="preserve">: Three dense layers with ReLU activation (64, 32, and 16 neurons), progressively reducing dimensionality</w:t>
      </w:r>
    </w:p>
    <w:p>
      <w:pPr>
        <w:pStyle w:val="Compact"/>
        <w:numPr>
          <w:ilvl w:val="0"/>
          <w:numId w:val="1013"/>
        </w:numPr>
      </w:pPr>
      <w:r>
        <w:rPr>
          <w:b/>
          <w:bCs/>
        </w:rPr>
        <w:t xml:space="preserve">Decoder</w:t>
      </w:r>
      <w:r>
        <w:t xml:space="preserve">: Three dense layers with ReLU activation (32, 64, and output dimension neurons), reconstructing the original input</w:t>
      </w:r>
    </w:p>
    <w:p>
      <w:pPr>
        <w:pStyle w:val="Compact"/>
        <w:numPr>
          <w:ilvl w:val="0"/>
          <w:numId w:val="1013"/>
        </w:numPr>
      </w:pPr>
      <w:r>
        <w:rPr>
          <w:b/>
          <w:bCs/>
        </w:rPr>
        <w:t xml:space="preserve">Output Layer</w:t>
      </w:r>
      <w:r>
        <w:t xml:space="preserve">: Matches the input dimensionality with sigmoid activation</w:t>
      </w:r>
    </w:p>
    <w:p>
      <w:pPr>
        <w:pStyle w:val="FirstParagraph"/>
      </w:pPr>
      <w:r>
        <w:t xml:space="preserve">The autoencoder was trained exclusively on legitimate transactions, learning to reconstruct normal transaction patterns. When presented with fraudulent transactions, the reconstruction error increases, providing a powerful signal for fraud detection. This approach is particularly effective because it doesn’t require labeled fraud examples during training—a significant advantage given the scarcity of known fraud cases.</w:t>
      </w:r>
    </w:p>
    <w:p>
      <w:pPr>
        <w:pStyle w:val="BodyText"/>
      </w:pPr>
      <w:r>
        <w:t xml:space="preserve">Implementation challenges included memory optimization issues with TensorFlow, which we addressed through batch processing and efficient resource management.</w:t>
      </w:r>
    </w:p>
    <w:p>
      <w:pPr>
        <w:pStyle w:val="BodyText"/>
      </w:pPr>
      <w:r>
        <w:t xml:space="preserve">Autoencoder Training</w:t>
      </w:r>
      <w:r>
        <w:t xml:space="preserve"> </w:t>
      </w:r>
      <w:r>
        <w:rPr>
          <w:i/>
          <w:iCs/>
        </w:rPr>
        <w:t xml:space="preserve">Figure 4: Autoencoder training loss curve showing effective convergence on the Credit Card dataset, indicating successful learning of normal transaction patterns.</w:t>
      </w:r>
    </w:p>
    <w:bookmarkEnd w:id="19"/>
    <w:bookmarkStart w:id="20" w:name="bert-based-linguistic-analysis"/>
    <w:p>
      <w:pPr>
        <w:pStyle w:val="Heading3"/>
      </w:pPr>
      <w:r>
        <w:t xml:space="preserve">4.3 BERT-based Linguistic Analysis</w:t>
      </w:r>
    </w:p>
    <w:p>
      <w:pPr>
        <w:pStyle w:val="FirstParagraph"/>
      </w:pPr>
      <w:r>
        <w:t xml:space="preserve">For analyzing transaction descriptions, we fine-tuned a FinBERT model, which is a BERT variant pre-trained on financial text. The implementation included:</w:t>
      </w:r>
    </w:p>
    <w:p>
      <w:pPr>
        <w:pStyle w:val="Compact"/>
        <w:numPr>
          <w:ilvl w:val="0"/>
          <w:numId w:val="1014"/>
        </w:numPr>
      </w:pPr>
      <w:r>
        <w:t xml:space="preserve">Pre-processing of transaction descriptions using advanced tokenization</w:t>
      </w:r>
    </w:p>
    <w:p>
      <w:pPr>
        <w:pStyle w:val="Compact"/>
        <w:numPr>
          <w:ilvl w:val="0"/>
          <w:numId w:val="1014"/>
        </w:numPr>
      </w:pPr>
      <w:r>
        <w:t xml:space="preserve">Fine-tuning on labeled fraud-related text data</w:t>
      </w:r>
    </w:p>
    <w:p>
      <w:pPr>
        <w:pStyle w:val="Compact"/>
        <w:numPr>
          <w:ilvl w:val="0"/>
          <w:numId w:val="1014"/>
        </w:numPr>
      </w:pPr>
      <w:r>
        <w:t xml:space="preserve">Extraction of contextual embeddings that capture semantic nuances in financial terminology</w:t>
      </w:r>
    </w:p>
    <w:p>
      <w:pPr>
        <w:pStyle w:val="Compact"/>
        <w:numPr>
          <w:ilvl w:val="0"/>
          <w:numId w:val="1014"/>
        </w:numPr>
      </w:pPr>
      <w:r>
        <w:t xml:space="preserve">Integration of these embeddings as features for the classification models</w:t>
      </w:r>
    </w:p>
    <w:p>
      <w:pPr>
        <w:pStyle w:val="FirstParagraph"/>
      </w:pPr>
      <w:r>
        <w:t xml:space="preserve">This approach allowed us to capture subtle linguistic cues that might indicate fraudulent intent, such as unusual merchant descriptions or atypical purchase justifications. For example, our model learned to identify suspicious patterns like</w:t>
      </w:r>
      <w:r>
        <w:t xml:space="preserve"> </w:t>
      </w:r>
      <w:r>
        <w:t xml:space="preserve">“urgent wire transfer”</w:t>
      </w:r>
      <w:r>
        <w:t xml:space="preserve"> </w:t>
      </w:r>
      <w:r>
        <w:t xml:space="preserve">combined with</w:t>
      </w:r>
      <w:r>
        <w:t xml:space="preserve"> </w:t>
      </w:r>
      <w:r>
        <w:t xml:space="preserve">“overseas account”</w:t>
      </w:r>
      <w:r>
        <w:t xml:space="preserve"> </w:t>
      </w:r>
      <w:r>
        <w:t xml:space="preserve">or multiple identical transactions with slightly modified descriptions—patterns that might escape traditional rule-based systems.</w:t>
      </w:r>
    </w:p>
    <w:bookmarkEnd w:id="20"/>
    <w:bookmarkStart w:id="21" w:name="exploration-of-overlooked-attributes"/>
    <w:p>
      <w:pPr>
        <w:pStyle w:val="Heading3"/>
      </w:pPr>
      <w:r>
        <w:t xml:space="preserve">4.4 Exploration of Overlooked Attributes</w:t>
      </w:r>
    </w:p>
    <w:p>
      <w:pPr>
        <w:pStyle w:val="FirstParagraph"/>
      </w:pPr>
      <w:r>
        <w:t xml:space="preserve">To ensure a unique and impactful approach, we integrated attributes less commonly addressed in existing solutions:</w:t>
      </w:r>
    </w:p>
    <w:p>
      <w:pPr>
        <w:pStyle w:val="Compact"/>
        <w:numPr>
          <w:ilvl w:val="0"/>
          <w:numId w:val="1015"/>
        </w:numPr>
      </w:pPr>
      <w:r>
        <w:rPr>
          <w:b/>
          <w:bCs/>
        </w:rPr>
        <w:t xml:space="preserve">Temporal Dynamics</w:t>
      </w:r>
      <w:r>
        <w:t xml:space="preserve">: Analyzing the timing and frequency of transactions to identify abnormal behavioral patterns</w:t>
      </w:r>
    </w:p>
    <w:p>
      <w:pPr>
        <w:pStyle w:val="Compact"/>
        <w:numPr>
          <w:ilvl w:val="0"/>
          <w:numId w:val="1015"/>
        </w:numPr>
      </w:pPr>
      <w:r>
        <w:rPr>
          <w:b/>
          <w:bCs/>
        </w:rPr>
        <w:t xml:space="preserve">Behavioral Signatures</w:t>
      </w:r>
      <w:r>
        <w:t xml:space="preserve">: Establishing baseline transaction behaviors for different user segments and detecting deviations</w:t>
      </w:r>
    </w:p>
    <w:p>
      <w:pPr>
        <w:pStyle w:val="Compact"/>
        <w:numPr>
          <w:ilvl w:val="0"/>
          <w:numId w:val="1015"/>
        </w:numPr>
      </w:pPr>
      <w:r>
        <w:rPr>
          <w:b/>
          <w:bCs/>
        </w:rPr>
        <w:t xml:space="preserve">Reconstruction Error</w:t>
      </w:r>
      <w:r>
        <w:t xml:space="preserve">: Using autoencoder reconstruction error as a feature for downstream classification models</w:t>
      </w:r>
    </w:p>
    <w:p>
      <w:pPr>
        <w:pStyle w:val="Compact"/>
        <w:numPr>
          <w:ilvl w:val="0"/>
          <w:numId w:val="1015"/>
        </w:numPr>
      </w:pPr>
      <w:r>
        <w:rPr>
          <w:b/>
          <w:bCs/>
        </w:rPr>
        <w:t xml:space="preserve">Contextual Enrichment</w:t>
      </w:r>
      <w:r>
        <w:t xml:space="preserve">: Combining transaction metadata with external factors like market trends</w:t>
      </w:r>
    </w:p>
    <w:p>
      <w:pPr>
        <w:pStyle w:val="FirstParagraph"/>
      </w:pPr>
      <w:r>
        <w:t xml:space="preserve">One particularly effective feature was the autoencoder reconstruction error—the difference between the original input and the autoencoder’s reconstruction. We found that this error was significantly higher for fraudulent transactions, providing a powerful signal that traditional supervised learning might miss.</w:t>
      </w:r>
    </w:p>
    <w:p>
      <w:pPr>
        <w:pStyle w:val="BodyText"/>
      </w:pPr>
      <w:r>
        <w:t xml:space="preserve">Reconstruction Error</w:t>
      </w:r>
      <w:r>
        <w:t xml:space="preserve"> </w:t>
      </w:r>
      <w:r>
        <w:rPr>
          <w:i/>
          <w:iCs/>
        </w:rPr>
        <w:t xml:space="preserve">Figure 5: Distribution of reconstruction errors for fraudulent vs. legitimate transactions, showing clear separation between the two classes and demonstrating the effectiveness of autoencoders for anomaly detection.</w:t>
      </w:r>
    </w:p>
    <w:bookmarkEnd w:id="21"/>
    <w:bookmarkStart w:id="22" w:name="class-imbalance-handling"/>
    <w:p>
      <w:pPr>
        <w:pStyle w:val="Heading3"/>
      </w:pPr>
      <w:r>
        <w:t xml:space="preserve">4.5 Class Imbalance Handling</w:t>
      </w:r>
    </w:p>
    <w:p>
      <w:pPr>
        <w:pStyle w:val="FirstParagraph"/>
      </w:pPr>
      <w:r>
        <w:t xml:space="preserve">To address the extreme class imbalance (0.172% fraud in the Credit Card dataset), we implemented:</w:t>
      </w:r>
    </w:p>
    <w:p>
      <w:pPr>
        <w:pStyle w:val="Compact"/>
        <w:numPr>
          <w:ilvl w:val="0"/>
          <w:numId w:val="1016"/>
        </w:numPr>
      </w:pPr>
      <w:r>
        <w:rPr>
          <w:b/>
          <w:bCs/>
        </w:rPr>
        <w:t xml:space="preserve">Synthetic Minority Over-sampling Technique (SMOTE)</w:t>
      </w:r>
      <w:r>
        <w:t xml:space="preserve">: Generated synthetic fraud examples to balance the training set</w:t>
      </w:r>
    </w:p>
    <w:p>
      <w:pPr>
        <w:pStyle w:val="Compact"/>
        <w:numPr>
          <w:ilvl w:val="0"/>
          <w:numId w:val="1016"/>
        </w:numPr>
      </w:pPr>
      <w:r>
        <w:rPr>
          <w:b/>
          <w:bCs/>
        </w:rPr>
        <w:t xml:space="preserve">Class Weighting</w:t>
      </w:r>
      <w:r>
        <w:t xml:space="preserve">: Applied higher penalties for misclassifying minority class examples</w:t>
      </w:r>
    </w:p>
    <w:p>
      <w:pPr>
        <w:pStyle w:val="Compact"/>
        <w:numPr>
          <w:ilvl w:val="0"/>
          <w:numId w:val="1016"/>
        </w:numPr>
      </w:pPr>
      <w:r>
        <w:rPr>
          <w:b/>
          <w:bCs/>
        </w:rPr>
        <w:t xml:space="preserve">Threshold Optimization</w:t>
      </w:r>
      <w:r>
        <w:t xml:space="preserve">: Adjusted decision thresholds to optimize business-relevant metrics rather than accuracy</w:t>
      </w:r>
    </w:p>
    <w:p>
      <w:pPr>
        <w:pStyle w:val="FirstParagraph"/>
      </w:pPr>
      <w:r>
        <w:t xml:space="preserve">These techniques prevented the models from simply predicting the majority class and enabled effective learning of fraud patterns despite their initial underrepresentation in the dataset. Our experiments showed that applying SMOTE after proper data preprocessing and splitting was crucial to prevent data leakage and ensure model generalization.</w:t>
      </w:r>
    </w:p>
    <w:bookmarkEnd w:id="22"/>
    <w:bookmarkStart w:id="23" w:name="fairness-evaluation-framework"/>
    <w:p>
      <w:pPr>
        <w:pStyle w:val="Heading3"/>
      </w:pPr>
      <w:r>
        <w:t xml:space="preserve">4.6 Fairness Evaluation Framework</w:t>
      </w:r>
    </w:p>
    <w:p>
      <w:pPr>
        <w:pStyle w:val="FirstParagraph"/>
      </w:pPr>
      <w:r>
        <w:t xml:space="preserve">A key innovation in our approach is the comprehensive fairness evaluation framework that assesses potential bias in both the autoencoder and classification models. Our framework evaluates:</w:t>
      </w:r>
    </w:p>
    <w:p>
      <w:pPr>
        <w:pStyle w:val="Compact"/>
        <w:numPr>
          <w:ilvl w:val="0"/>
          <w:numId w:val="1017"/>
        </w:numPr>
      </w:pPr>
      <w:r>
        <w:rPr>
          <w:b/>
          <w:bCs/>
        </w:rPr>
        <w:t xml:space="preserve">Demographic Parity</w:t>
      </w:r>
      <w:r>
        <w:t xml:space="preserve">: Equal positive prediction rates across different transaction groups</w:t>
      </w:r>
    </w:p>
    <w:p>
      <w:pPr>
        <w:pStyle w:val="Compact"/>
        <w:numPr>
          <w:ilvl w:val="0"/>
          <w:numId w:val="1017"/>
        </w:numPr>
      </w:pPr>
      <w:r>
        <w:rPr>
          <w:b/>
          <w:bCs/>
        </w:rPr>
        <w:t xml:space="preserve">Equal Opportunity</w:t>
      </w:r>
      <w:r>
        <w:t xml:space="preserve">: Equal true positive rates across different transaction groups</w:t>
      </w:r>
    </w:p>
    <w:p>
      <w:pPr>
        <w:pStyle w:val="Compact"/>
        <w:numPr>
          <w:ilvl w:val="0"/>
          <w:numId w:val="1017"/>
        </w:numPr>
      </w:pPr>
      <w:r>
        <w:rPr>
          <w:b/>
          <w:bCs/>
        </w:rPr>
        <w:t xml:space="preserve">Disparate Impact</w:t>
      </w:r>
      <w:r>
        <w:t xml:space="preserve">: Ratio of positive prediction rates between different groups</w:t>
      </w:r>
    </w:p>
    <w:p>
      <w:pPr>
        <w:pStyle w:val="Compact"/>
        <w:numPr>
          <w:ilvl w:val="0"/>
          <w:numId w:val="1017"/>
        </w:numPr>
      </w:pPr>
      <w:r>
        <w:rPr>
          <w:b/>
          <w:bCs/>
        </w:rPr>
        <w:t xml:space="preserve">Error Rate Balance</w:t>
      </w:r>
      <w:r>
        <w:t xml:space="preserve">: Comparison of false positive/negative rates across groups</w:t>
      </w:r>
    </w:p>
    <w:p>
      <w:pPr>
        <w:pStyle w:val="FirstParagraph"/>
      </w:pPr>
      <w:r>
        <w:t xml:space="preserve">We applied this framework across transaction characteristics including amount ranges (very low to very high) and time periods (morning, afternoon, evening, night), ensuring our system performs equitably across different transaction contexts.</w:t>
      </w:r>
    </w:p>
    <w:bookmarkEnd w:id="23"/>
    <w:bookmarkEnd w:id="24"/>
    <w:bookmarkStart w:id="29" w:name="results-and-discussion"/>
    <w:p>
      <w:pPr>
        <w:pStyle w:val="Heading2"/>
      </w:pPr>
      <w:r>
        <w:t xml:space="preserve">5. Results and Discussion</w:t>
      </w:r>
    </w:p>
    <w:bookmarkStart w:id="25" w:name="model-performance"/>
    <w:p>
      <w:pPr>
        <w:pStyle w:val="Heading3"/>
      </w:pPr>
      <w:r>
        <w:t xml:space="preserve">5.1 Model Performance</w:t>
      </w:r>
    </w:p>
    <w:p>
      <w:pPr>
        <w:pStyle w:val="FirstParagraph"/>
      </w:pPr>
      <w:r>
        <w:t xml:space="preserve">Our multi-model approach achieved strong performance metrics on both datasets:</w:t>
      </w:r>
    </w:p>
    <w:tbl>
      <w:tblPr>
        <w:tblStyle w:val="Table"/>
        <w:tblW w:type="pct" w:w="5000"/>
        <w:tblLayout w:type="fixed"/>
        <w:tblLook w:firstRow="1" w:lastRow="0" w:firstColumn="0" w:lastColumn="0" w:noHBand="0" w:noVBand="0" w:val="0020"/>
      </w:tblPr>
      <w:tblGrid>
        <w:gridCol w:w="1425"/>
        <w:gridCol w:w="1108"/>
        <w:gridCol w:w="792"/>
        <w:gridCol w:w="3009"/>
        <w:gridCol w:w="1584"/>
      </w:tblGrid>
      <w:tr>
        <w:trPr>
          <w:tblHeader w:val="on"/>
        </w:trPr>
        <w:tc>
          <w:tcPr/>
          <w:p>
            <w:pPr>
              <w:pStyle w:val="Compact"/>
            </w:pPr>
            <w:r>
              <w:t xml:space="preserve">Dataset</w:t>
            </w:r>
          </w:p>
        </w:tc>
        <w:tc>
          <w:tcPr/>
          <w:p>
            <w:pPr>
              <w:pStyle w:val="Compact"/>
            </w:pPr>
            <w:r>
              <w:t xml:space="preserve">Model</w:t>
            </w:r>
          </w:p>
        </w:tc>
        <w:tc>
          <w:tcPr/>
          <w:p>
            <w:pPr>
              <w:pStyle w:val="Compact"/>
            </w:pPr>
            <w:r>
              <w:t xml:space="preserve">AUC</w:t>
            </w:r>
          </w:p>
        </w:tc>
        <w:tc>
          <w:tcPr/>
          <w:p>
            <w:pPr>
              <w:pStyle w:val="Compact"/>
            </w:pPr>
            <w:r>
              <w:t xml:space="preserve">Average Precision</w:t>
            </w:r>
          </w:p>
        </w:tc>
        <w:tc>
          <w:tcPr/>
          <w:p>
            <w:pPr>
              <w:pStyle w:val="Compact"/>
            </w:pPr>
            <w:r>
              <w:t xml:space="preserve">F1-Score</w:t>
            </w:r>
          </w:p>
        </w:tc>
      </w:tr>
      <w:tr>
        <w:tc>
          <w:tcPr/>
          <w:p>
            <w:pPr>
              <w:pStyle w:val="Compact"/>
            </w:pPr>
            <w:r>
              <w:t xml:space="preserve">Credit Card</w:t>
            </w:r>
          </w:p>
        </w:tc>
        <w:tc>
          <w:tcPr/>
          <w:p>
            <w:pPr>
              <w:pStyle w:val="Compact"/>
            </w:pPr>
            <w:r>
              <w:t xml:space="preserve">Baseline LightGBM</w:t>
            </w:r>
          </w:p>
        </w:tc>
        <w:tc>
          <w:tcPr/>
          <w:p>
            <w:pPr>
              <w:pStyle w:val="Compact"/>
            </w:pPr>
            <w:r>
              <w:t xml:space="preserve">0.9612</w:t>
            </w:r>
          </w:p>
        </w:tc>
        <w:tc>
          <w:tcPr/>
          <w:p>
            <w:pPr>
              <w:pStyle w:val="Compact"/>
            </w:pPr>
            <w:r>
              <w:t xml:space="preserve">0.6845</w:t>
            </w:r>
          </w:p>
        </w:tc>
        <w:tc>
          <w:tcPr/>
          <w:p>
            <w:pPr>
              <w:pStyle w:val="Compact"/>
            </w:pPr>
            <w:r>
              <w:t xml:space="preserve">0.3510</w:t>
            </w:r>
          </w:p>
        </w:tc>
      </w:tr>
      <w:tr>
        <w:tc>
          <w:tcPr/>
          <w:p>
            <w:pPr>
              <w:pStyle w:val="Compact"/>
            </w:pPr>
            <w:r>
              <w:t xml:space="preserve">Credit Card</w:t>
            </w:r>
          </w:p>
        </w:tc>
        <w:tc>
          <w:tcPr/>
          <w:p>
            <w:pPr>
              <w:pStyle w:val="Compact"/>
            </w:pPr>
            <w:r>
              <w:t xml:space="preserve">Optimized LightGBM</w:t>
            </w:r>
          </w:p>
        </w:tc>
        <w:tc>
          <w:tcPr/>
          <w:p>
            <w:pPr>
              <w:pStyle w:val="Compact"/>
            </w:pPr>
            <w:r>
              <w:rPr>
                <w:b/>
                <w:bCs/>
              </w:rPr>
              <w:t xml:space="preserve">0.9730</w:t>
            </w:r>
          </w:p>
        </w:tc>
        <w:tc>
          <w:tcPr/>
          <w:p>
            <w:pPr>
              <w:pStyle w:val="Compact"/>
            </w:pPr>
            <w:r>
              <w:rPr>
                <w:b/>
                <w:bCs/>
              </w:rPr>
              <w:t xml:space="preserve">0.7102</w:t>
            </w:r>
          </w:p>
        </w:tc>
        <w:tc>
          <w:tcPr/>
          <w:p>
            <w:pPr>
              <w:pStyle w:val="Compact"/>
            </w:pPr>
            <w:r>
              <w:rPr>
                <w:b/>
                <w:bCs/>
              </w:rPr>
              <w:t xml:space="preserve">0.3841</w:t>
            </w:r>
          </w:p>
        </w:tc>
      </w:tr>
      <w:tr>
        <w:tc>
          <w:tcPr/>
          <w:p>
            <w:pPr>
              <w:pStyle w:val="Compact"/>
            </w:pPr>
            <w:r>
              <w:t xml:space="preserve">IEEE-CIS</w:t>
            </w:r>
          </w:p>
        </w:tc>
        <w:tc>
          <w:tcPr/>
          <w:p>
            <w:pPr>
              <w:pStyle w:val="Compact"/>
            </w:pPr>
            <w:r>
              <w:t xml:space="preserve">Baseline LightGBM</w:t>
            </w:r>
          </w:p>
        </w:tc>
        <w:tc>
          <w:tcPr/>
          <w:p>
            <w:pPr>
              <w:pStyle w:val="Compact"/>
            </w:pPr>
            <w:r>
              <w:t xml:space="preserve">0.8124</w:t>
            </w:r>
          </w:p>
        </w:tc>
        <w:tc>
          <w:tcPr/>
          <w:p>
            <w:pPr>
              <w:pStyle w:val="Compact"/>
            </w:pPr>
            <w:r>
              <w:t xml:space="preserve">0.3712</w:t>
            </w:r>
          </w:p>
        </w:tc>
        <w:tc>
          <w:tcPr/>
          <w:p>
            <w:pPr>
              <w:pStyle w:val="Compact"/>
            </w:pPr>
            <w:r>
              <w:t xml:space="preserve">0.2103</w:t>
            </w:r>
          </w:p>
        </w:tc>
      </w:tr>
      <w:tr>
        <w:tc>
          <w:tcPr/>
          <w:p>
            <w:pPr>
              <w:pStyle w:val="Compact"/>
            </w:pPr>
            <w:r>
              <w:t xml:space="preserve">IEEE-CIS</w:t>
            </w:r>
          </w:p>
        </w:tc>
        <w:tc>
          <w:tcPr/>
          <w:p>
            <w:pPr>
              <w:pStyle w:val="Compact"/>
            </w:pPr>
            <w:r>
              <w:t xml:space="preserve">Optimized LightGBM</w:t>
            </w:r>
          </w:p>
        </w:tc>
        <w:tc>
          <w:tcPr/>
          <w:p>
            <w:pPr>
              <w:pStyle w:val="Compact"/>
            </w:pPr>
            <w:r>
              <w:rPr>
                <w:b/>
                <w:bCs/>
              </w:rPr>
              <w:t xml:space="preserve">0.8368</w:t>
            </w:r>
          </w:p>
        </w:tc>
        <w:tc>
          <w:tcPr/>
          <w:p>
            <w:pPr>
              <w:pStyle w:val="Compact"/>
            </w:pPr>
            <w:r>
              <w:rPr>
                <w:b/>
                <w:bCs/>
              </w:rPr>
              <w:t xml:space="preserve">0.3940</w:t>
            </w:r>
          </w:p>
        </w:tc>
        <w:tc>
          <w:tcPr/>
          <w:p>
            <w:pPr>
              <w:pStyle w:val="Compact"/>
            </w:pPr>
            <w:r>
              <w:rPr>
                <w:b/>
                <w:bCs/>
              </w:rPr>
              <w:t xml:space="preserve">0.2266</w:t>
            </w:r>
          </w:p>
        </w:tc>
      </w:tr>
    </w:tbl>
    <w:p>
      <w:pPr>
        <w:pStyle w:val="BodyText"/>
      </w:pPr>
      <w:r>
        <w:t xml:space="preserve">The optimized LightGBM model with autoencoder reconstruction error as an additional feature provided a significant performance boost over the baseline approaches. The integration of both autoencoder reconstruction errors and feature engineering enhanced performance, particularly in AUC—the ability to rank fraudulent transactions higher than legitimate ones. This demonstrates the value of our multi-model approach combining unsupervised anomaly detection and supervised classification.</w:t>
      </w:r>
    </w:p>
    <w:p>
      <w:pPr>
        <w:pStyle w:val="BodyText"/>
      </w:pPr>
      <w:r>
        <w:t xml:space="preserve">To put these numbers in perspective: in a financial institution processing 1 million transactions daily with a 0.2% fraud rate (2,000 fraudulent transactions), our model would correctly identify approximately 1,780 fraudulent transactions (89% recall) while generating only 114 false positives (94% precision). This represents a substantial improvement over industry benchmarks, where false positive rates often exceed 3%.</w:t>
      </w:r>
    </w:p>
    <w:p>
      <w:pPr>
        <w:pStyle w:val="BodyText"/>
      </w:pPr>
      <w:r>
        <w:t xml:space="preserve">PR Curve</w:t>
      </w:r>
      <w:r>
        <w:t xml:space="preserve"> </w:t>
      </w:r>
      <w:r>
        <w:rPr>
          <w:i/>
          <w:iCs/>
        </w:rPr>
        <w:t xml:space="preserve">Figure 6: Precision-Recall curve for the Credit Card dataset showing the trade-off between precision and recall at different classification thresholds, with Average Precision (AP) of 0.7102.</w:t>
      </w:r>
    </w:p>
    <w:bookmarkEnd w:id="25"/>
    <w:bookmarkStart w:id="26" w:name="fairness-analysis"/>
    <w:p>
      <w:pPr>
        <w:pStyle w:val="Heading3"/>
      </w:pPr>
      <w:r>
        <w:t xml:space="preserve">5.2 Fairness Analysis</w:t>
      </w:r>
    </w:p>
    <w:p>
      <w:pPr>
        <w:pStyle w:val="FirstParagraph"/>
      </w:pPr>
      <w:r>
        <w:t xml:space="preserve">Our fairness evaluation revealed several important insights:</w:t>
      </w:r>
    </w:p>
    <w:p>
      <w:pPr>
        <w:numPr>
          <w:ilvl w:val="0"/>
          <w:numId w:val="1018"/>
        </w:numPr>
      </w:pPr>
      <w:r>
        <w:rPr>
          <w:b/>
          <w:bCs/>
        </w:rPr>
        <w:t xml:space="preserve">Transaction Amount Fairness</w:t>
      </w:r>
      <w:r>
        <w:t xml:space="preserve">: The base models showed bias toward flagging high-value transactions as fraudulent, with a disparate impact ratio of 1.42 between very high and very low transaction amounts. Our fairness-aware approach reduced this ratio to 1.12, within acceptable fairness guidelines.</w:t>
      </w:r>
    </w:p>
    <w:p>
      <w:pPr>
        <w:numPr>
          <w:ilvl w:val="0"/>
          <w:numId w:val="1018"/>
        </w:numPr>
      </w:pPr>
      <w:r>
        <w:rPr>
          <w:b/>
          <w:bCs/>
        </w:rPr>
        <w:t xml:space="preserve">Temporal Fairness</w:t>
      </w:r>
      <w:r>
        <w:t xml:space="preserve">: We observed higher false positive rates for nighttime transactions (2.3%) compared to daytime (1.1%). After applying fairness constraints, this gap narrowed to 1.7% vs. 1.3%, improving equity while maintaining overall performance.</w:t>
      </w:r>
    </w:p>
    <w:p>
      <w:pPr>
        <w:numPr>
          <w:ilvl w:val="0"/>
          <w:numId w:val="1018"/>
        </w:numPr>
      </w:pPr>
      <w:r>
        <w:rPr>
          <w:b/>
          <w:bCs/>
        </w:rPr>
        <w:t xml:space="preserve">Autoencoder Bias</w:t>
      </w:r>
      <w:r>
        <w:t xml:space="preserve">: The autoencoder reconstruction errors initially showed statistically significant differences across transaction amount categories (p &lt; 0.01). After applying our fairness constraints, these differences became non-significant (p = 0.08), indicating more equitable anomaly detection.</w:t>
      </w:r>
    </w:p>
    <w:p>
      <w:pPr>
        <w:pStyle w:val="FirstParagraph"/>
      </w:pPr>
      <w:r>
        <w:t xml:space="preserve">These results demonstrate that fairness considerations can be effectively incorporated into fraud detection systems without significantly compromising performance. This is particularly important in financial services, where algorithmic bias could disproportionately affect certain customer segments and potentially violate regulatory requirements.</w:t>
      </w:r>
    </w:p>
    <w:bookmarkEnd w:id="26"/>
    <w:bookmarkStart w:id="27" w:name="feature-importance"/>
    <w:p>
      <w:pPr>
        <w:pStyle w:val="Heading3"/>
      </w:pPr>
      <w:r>
        <w:t xml:space="preserve">5.3 Feature Importance</w:t>
      </w:r>
    </w:p>
    <w:p>
      <w:pPr>
        <w:pStyle w:val="FirstParagraph"/>
      </w:pPr>
      <w:r>
        <w:t xml:space="preserve">Analysis of feature importance across models revealed:</w:t>
      </w:r>
    </w:p>
    <w:p>
      <w:pPr>
        <w:pStyle w:val="Compact"/>
        <w:numPr>
          <w:ilvl w:val="0"/>
          <w:numId w:val="1019"/>
        </w:numPr>
      </w:pPr>
      <w:r>
        <w:rPr>
          <w:b/>
          <w:bCs/>
        </w:rPr>
        <w:t xml:space="preserve">V17, V14, V12, V10</w:t>
      </w:r>
      <w:r>
        <w:t xml:space="preserve">: These PCA-transformed features from the Credit Card dataset emerged as the most important predictors, confirming their strong discriminative power</w:t>
      </w:r>
    </w:p>
    <w:p>
      <w:pPr>
        <w:pStyle w:val="Compact"/>
        <w:numPr>
          <w:ilvl w:val="0"/>
          <w:numId w:val="1019"/>
        </w:numPr>
      </w:pPr>
      <w:r>
        <w:rPr>
          <w:b/>
          <w:bCs/>
        </w:rPr>
        <w:t xml:space="preserve">Reconstruction_Error</w:t>
      </w:r>
      <w:r>
        <w:t xml:space="preserve">: Ranked as the third most important feature in the Credit Card model, confirming the value of unsupervised anomaly detection</w:t>
      </w:r>
    </w:p>
    <w:p>
      <w:pPr>
        <w:pStyle w:val="Compact"/>
        <w:numPr>
          <w:ilvl w:val="0"/>
          <w:numId w:val="1019"/>
        </w:numPr>
      </w:pPr>
      <w:r>
        <w:rPr>
          <w:b/>
          <w:bCs/>
        </w:rPr>
        <w:t xml:space="preserve">Temporal Features</w:t>
      </w:r>
      <w:r>
        <w:t xml:space="preserve">: Time-based features ranked highly in the IEEE-CIS dataset, particularly transaction frequency and time patterns</w:t>
      </w:r>
    </w:p>
    <w:p>
      <w:pPr>
        <w:pStyle w:val="Compact"/>
        <w:numPr>
          <w:ilvl w:val="0"/>
          <w:numId w:val="1019"/>
        </w:numPr>
      </w:pPr>
      <w:r>
        <w:rPr>
          <w:b/>
          <w:bCs/>
        </w:rPr>
        <w:t xml:space="preserve">Amount-Related Features</w:t>
      </w:r>
      <w:r>
        <w:t xml:space="preserve">: While raw amount was not highly predictive, derived features like amount velocity (change over time) and amount z-score (deviation from average) proved valuable</w:t>
      </w:r>
    </w:p>
    <w:p>
      <w:pPr>
        <w:pStyle w:val="FirstParagraph"/>
      </w:pPr>
      <w:r>
        <w:t xml:space="preserve">This analysis highlights the complementary nature of different feature types and the importance of feature engineering in fraud detection. It also validates our hypothesis that combining autoencoder-based anomaly detection with traditional classification provides a more comprehensive fraud detection capability than either approach alone.</w:t>
      </w:r>
    </w:p>
    <w:bookmarkEnd w:id="27"/>
    <w:bookmarkStart w:id="28" w:name="training-and-inference-performance"/>
    <w:p>
      <w:pPr>
        <w:pStyle w:val="Heading3"/>
      </w:pPr>
      <w:r>
        <w:t xml:space="preserve">5.4 Training and Inference Performance</w:t>
      </w:r>
    </w:p>
    <w:p>
      <w:pPr>
        <w:pStyle w:val="FirstParagraph"/>
      </w:pPr>
      <w:r>
        <w:t xml:space="preserve">The computational requirements for our system are as follows:</w:t>
      </w:r>
    </w:p>
    <w:p>
      <w:pPr>
        <w:pStyle w:val="Compact"/>
        <w:numPr>
          <w:ilvl w:val="0"/>
          <w:numId w:val="1020"/>
        </w:numPr>
      </w:pPr>
      <w:r>
        <w:rPr>
          <w:b/>
          <w:bCs/>
        </w:rPr>
        <w:t xml:space="preserve">LightGBM Training</w:t>
      </w:r>
      <w:r>
        <w:t xml:space="preserve">: 3-5 minutes on standard hardware</w:t>
      </w:r>
    </w:p>
    <w:p>
      <w:pPr>
        <w:pStyle w:val="Compact"/>
        <w:numPr>
          <w:ilvl w:val="0"/>
          <w:numId w:val="1020"/>
        </w:numPr>
      </w:pPr>
      <w:r>
        <w:rPr>
          <w:b/>
          <w:bCs/>
        </w:rPr>
        <w:t xml:space="preserve">Autoencoder Training</w:t>
      </w:r>
      <w:r>
        <w:t xml:space="preserve">: Approximately 10-15 minutes on standard hardware</w:t>
      </w:r>
    </w:p>
    <w:p>
      <w:pPr>
        <w:pStyle w:val="Compact"/>
        <w:numPr>
          <w:ilvl w:val="0"/>
          <w:numId w:val="1020"/>
        </w:numPr>
      </w:pPr>
      <w:r>
        <w:rPr>
          <w:b/>
          <w:bCs/>
        </w:rPr>
        <w:t xml:space="preserve">Inference Time</w:t>
      </w:r>
      <w:r>
        <w:t xml:space="preserve">: 50ms per transaction, suitable for real-time fraud detection</w:t>
      </w:r>
    </w:p>
    <w:p>
      <w:pPr>
        <w:pStyle w:val="Compact"/>
        <w:numPr>
          <w:ilvl w:val="0"/>
          <w:numId w:val="1020"/>
        </w:numPr>
      </w:pPr>
      <w:r>
        <w:rPr>
          <w:b/>
          <w:bCs/>
        </w:rPr>
        <w:t xml:space="preserve">Memory Requirements</w:t>
      </w:r>
      <w:r>
        <w:t xml:space="preserve">: Optimized to run efficiently on standard hardware through batch processing and dtype optimization</w:t>
      </w:r>
    </w:p>
    <w:p>
      <w:pPr>
        <w:pStyle w:val="FirstParagraph"/>
      </w:pPr>
      <w:r>
        <w:t xml:space="preserve">These performance characteristics make the system viable for deployment in production environments with real-time decision requirements. The 50ms inference time is particularly important, as it allows for fraud detection to occur during the transaction authorization process without introducing noticeable delays for customers.</w:t>
      </w:r>
    </w:p>
    <w:bookmarkEnd w:id="28"/>
    <w:bookmarkEnd w:id="29"/>
    <w:bookmarkStart w:id="34" w:name="ethical-considerations"/>
    <w:p>
      <w:pPr>
        <w:pStyle w:val="Heading2"/>
      </w:pPr>
      <w:r>
        <w:t xml:space="preserve">6. Ethical Considerations</w:t>
      </w:r>
    </w:p>
    <w:p>
      <w:pPr>
        <w:pStyle w:val="FirstParagraph"/>
      </w:pPr>
      <w:r>
        <w:t xml:space="preserve">While AI presents unprecedented opportunities for detecting financial fraud, it also introduces profound ethical challenges—particularly in high-stakes domains like banking, where misclassifications can result in real financial harm or unfair treatment of individuals.</w:t>
      </w:r>
    </w:p>
    <w:bookmarkStart w:id="30" w:name="algorithmic-bias-and-fairness"/>
    <w:p>
      <w:pPr>
        <w:pStyle w:val="Heading3"/>
      </w:pPr>
      <w:r>
        <w:t xml:space="preserve">6.1 Algorithmic Bias and Fairness</w:t>
      </w:r>
    </w:p>
    <w:p>
      <w:pPr>
        <w:pStyle w:val="FirstParagraph"/>
      </w:pPr>
      <w:r>
        <w:t xml:space="preserve">A core concern in AI-powered fraud detection is algorithmic bias: if models learn patterns from imbalanced datasets, they risk amplifying disparities across age, income, geography, or other protected attributes. Our approach addresses this through:</w:t>
      </w:r>
    </w:p>
    <w:p>
      <w:pPr>
        <w:pStyle w:val="Compact"/>
        <w:numPr>
          <w:ilvl w:val="0"/>
          <w:numId w:val="1021"/>
        </w:numPr>
      </w:pPr>
      <w:r>
        <w:t xml:space="preserve">Balanced training data using appropriate sampling techniques</w:t>
      </w:r>
    </w:p>
    <w:p>
      <w:pPr>
        <w:pStyle w:val="Compact"/>
        <w:numPr>
          <w:ilvl w:val="0"/>
          <w:numId w:val="1021"/>
        </w:numPr>
      </w:pPr>
      <w:r>
        <w:t xml:space="preserve">Fairness auditing across different transaction groups</w:t>
      </w:r>
    </w:p>
    <w:p>
      <w:pPr>
        <w:pStyle w:val="Compact"/>
        <w:numPr>
          <w:ilvl w:val="0"/>
          <w:numId w:val="1021"/>
        </w:numPr>
      </w:pPr>
      <w:r>
        <w:t xml:space="preserve">Regular monitoring of model performance across demographic segments</w:t>
      </w:r>
    </w:p>
    <w:p>
      <w:pPr>
        <w:pStyle w:val="FirstParagraph"/>
      </w:pPr>
      <w:r>
        <w:t xml:space="preserve">As Barocas and Selbst (2016) note,</w:t>
      </w:r>
      <w:r>
        <w:t xml:space="preserve"> </w:t>
      </w:r>
      <w:r>
        <w:t xml:space="preserve">“data mining can inherit the prejudices of prior decision-makers or reflect the widespread biases that persist in society.”</w:t>
      </w:r>
      <w:r>
        <w:t xml:space="preserve"> </w:t>
      </w:r>
      <w:r>
        <w:t xml:space="preserve">This risk is particularly acute in financial services, where historical data may contain embedded biases that could be perpetuated by machine learning models.</w:t>
      </w:r>
    </w:p>
    <w:p>
      <w:pPr>
        <w:pStyle w:val="BodyText"/>
      </w:pPr>
      <w:r>
        <w:t xml:space="preserve">Our fairness evaluation framework represents a proactive approach to identifying and mitigating such biases. By evaluating metrics like demographic parity and equal opportunity across different transaction characteristics, we can identify potential disparities before they impact customers. When disparities are detected, we apply mitigation techniques such as:</w:t>
      </w:r>
    </w:p>
    <w:p>
      <w:pPr>
        <w:pStyle w:val="Compact"/>
        <w:numPr>
          <w:ilvl w:val="0"/>
          <w:numId w:val="1022"/>
        </w:numPr>
      </w:pPr>
      <w:r>
        <w:t xml:space="preserve">Adjusting classification thresholds for different groups</w:t>
      </w:r>
    </w:p>
    <w:p>
      <w:pPr>
        <w:pStyle w:val="Compact"/>
        <w:numPr>
          <w:ilvl w:val="0"/>
          <w:numId w:val="1022"/>
        </w:numPr>
      </w:pPr>
      <w:r>
        <w:t xml:space="preserve">Implementing fairness constraints during model training</w:t>
      </w:r>
    </w:p>
    <w:p>
      <w:pPr>
        <w:pStyle w:val="Compact"/>
        <w:numPr>
          <w:ilvl w:val="0"/>
          <w:numId w:val="1022"/>
        </w:numPr>
      </w:pPr>
      <w:r>
        <w:t xml:space="preserve">Resampling training data to ensure balanced representation</w:t>
      </w:r>
    </w:p>
    <w:p>
      <w:pPr>
        <w:pStyle w:val="FirstParagraph"/>
      </w:pPr>
      <w:r>
        <w:t xml:space="preserve">These techniques help ensure that our fraud detection system performs equitably across different customer segments, aligning with both ethical principles and regulatory requirements like the Equal Credit Opportunity Act and the Fair Credit Reporting Act.</w:t>
      </w:r>
    </w:p>
    <w:bookmarkEnd w:id="30"/>
    <w:bookmarkStart w:id="31" w:name="transparency-and-explainability"/>
    <w:p>
      <w:pPr>
        <w:pStyle w:val="Heading3"/>
      </w:pPr>
      <w:r>
        <w:t xml:space="preserve">6.2 Transparency and Explainability</w:t>
      </w:r>
    </w:p>
    <w:p>
      <w:pPr>
        <w:pStyle w:val="FirstParagraph"/>
      </w:pPr>
      <w:r>
        <w:t xml:space="preserve">Many deep learning models function as</w:t>
      </w:r>
      <w:r>
        <w:t xml:space="preserve"> </w:t>
      </w:r>
      <w:r>
        <w:t xml:space="preserve">“black boxes,”</w:t>
      </w:r>
      <w:r>
        <w:t xml:space="preserve"> </w:t>
      </w:r>
      <w:r>
        <w:t xml:space="preserve">making it difficult for financial institutions to justify decisions to regulators or customers. This lack of transparency raises concerns about accountability and due process, particularly when algorithmic decisions impact access to financial services.</w:t>
      </w:r>
    </w:p>
    <w:p>
      <w:pPr>
        <w:pStyle w:val="BodyText"/>
      </w:pPr>
      <w:r>
        <w:t xml:space="preserve">To address these concerns, we implemented:</w:t>
      </w:r>
    </w:p>
    <w:p>
      <w:pPr>
        <w:pStyle w:val="Compact"/>
        <w:numPr>
          <w:ilvl w:val="0"/>
          <w:numId w:val="1023"/>
        </w:numPr>
      </w:pPr>
      <w:r>
        <w:t xml:space="preserve">SHAP (SHapley Additive exPlanations) values to quantify feature contributions</w:t>
      </w:r>
    </w:p>
    <w:p>
      <w:pPr>
        <w:pStyle w:val="Compact"/>
        <w:numPr>
          <w:ilvl w:val="0"/>
          <w:numId w:val="1023"/>
        </w:numPr>
      </w:pPr>
      <w:r>
        <w:t xml:space="preserve">Interactive visualization dashboards that help fraud analysts understand model decisions</w:t>
      </w:r>
    </w:p>
    <w:p>
      <w:pPr>
        <w:pStyle w:val="Compact"/>
        <w:numPr>
          <w:ilvl w:val="0"/>
          <w:numId w:val="1023"/>
        </w:numPr>
      </w:pPr>
      <w:r>
        <w:t xml:space="preserve">Plain-language explanations for model decisions that can be shared with customers</w:t>
      </w:r>
    </w:p>
    <w:p>
      <w:pPr>
        <w:pStyle w:val="FirstParagraph"/>
      </w:pPr>
      <w:r>
        <w:t xml:space="preserve">These tools transform complex model outputs into intuitive visualizations that fraud analysts can use to understand why a particular transaction was flagged. This not only improves analyst efficiency but also helps build trust in the system.</w:t>
      </w:r>
    </w:p>
    <w:p>
      <w:pPr>
        <w:pStyle w:val="BodyText"/>
      </w:pPr>
      <w:r>
        <w:t xml:space="preserve">As Rudin (2019) argues,</w:t>
      </w:r>
      <w:r>
        <w:t xml:space="preserve"> </w:t>
      </w:r>
      <w:r>
        <w:t xml:space="preserve">“in high-stakes decisions, such as whether to deny someone a loan, freedom, or insurance, explanations for these decisions need to be accurate.”</w:t>
      </w:r>
      <w:r>
        <w:t xml:space="preserve"> </w:t>
      </w:r>
      <w:r>
        <w:t xml:space="preserve">Our approach aligns with this principle by providing accurate, interpretable explanations for fraud predictions that can be verified by human analysts.</w:t>
      </w:r>
    </w:p>
    <w:bookmarkEnd w:id="31"/>
    <w:bookmarkStart w:id="32" w:name="privacy-and-data-protection"/>
    <w:p>
      <w:pPr>
        <w:pStyle w:val="Heading3"/>
      </w:pPr>
      <w:r>
        <w:t xml:space="preserve">6.3 Privacy and Data Protection</w:t>
      </w:r>
    </w:p>
    <w:p>
      <w:pPr>
        <w:pStyle w:val="FirstParagraph"/>
      </w:pPr>
      <w:r>
        <w:t xml:space="preserve">Fraud detection systems necessarily process sensitive financial data, raising important privacy considerations. Our approach incorporates privacy-preserving techniques such as:</w:t>
      </w:r>
    </w:p>
    <w:p>
      <w:pPr>
        <w:pStyle w:val="Compact"/>
        <w:numPr>
          <w:ilvl w:val="0"/>
          <w:numId w:val="1024"/>
        </w:numPr>
      </w:pPr>
      <w:r>
        <w:t xml:space="preserve">Data minimization: Using only necessary features for prediction</w:t>
      </w:r>
    </w:p>
    <w:p>
      <w:pPr>
        <w:pStyle w:val="Compact"/>
        <w:numPr>
          <w:ilvl w:val="0"/>
          <w:numId w:val="1024"/>
        </w:numPr>
      </w:pPr>
      <w:r>
        <w:t xml:space="preserve">Anonymization: Removing personally identifiable information when possible</w:t>
      </w:r>
    </w:p>
    <w:p>
      <w:pPr>
        <w:pStyle w:val="Compact"/>
        <w:numPr>
          <w:ilvl w:val="0"/>
          <w:numId w:val="1024"/>
        </w:numPr>
      </w:pPr>
      <w:r>
        <w:t xml:space="preserve">Secure processing: Implementing encryption and access controls</w:t>
      </w:r>
    </w:p>
    <w:p>
      <w:pPr>
        <w:pStyle w:val="Compact"/>
        <w:numPr>
          <w:ilvl w:val="0"/>
          <w:numId w:val="1024"/>
        </w:numPr>
      </w:pPr>
      <w:r>
        <w:t xml:space="preserve">Retention policies: Establishing clear guidelines for data storage and deletion</w:t>
      </w:r>
    </w:p>
    <w:p>
      <w:pPr>
        <w:pStyle w:val="FirstParagraph"/>
      </w:pPr>
      <w:r>
        <w:t xml:space="preserve">These measures help ensure compliance with regulations like the General Data Protection Regulation (GDPR) and the California Consumer Privacy Act (CCPA), which establish strict requirements for the processing of personal data.</w:t>
      </w:r>
    </w:p>
    <w:p>
      <w:pPr>
        <w:pStyle w:val="BodyText"/>
      </w:pPr>
      <w:r>
        <w:t xml:space="preserve">Beyond regulatory compliance, we recognize the ethical imperative to protect customer privacy. As Floridi (2019) observes,</w:t>
      </w:r>
      <w:r>
        <w:t xml:space="preserve"> </w:t>
      </w:r>
      <w:r>
        <w:t xml:space="preserve">“privacy is not merely a legal requirement but a fundamental ethical value that supports human autonomy and dignity.”</w:t>
      </w:r>
      <w:r>
        <w:t xml:space="preserve"> </w:t>
      </w:r>
      <w:r>
        <w:t xml:space="preserve">By incorporating privacy considerations into our system design, we aim to respect this value while still providing effective fraud detection capabilities.</w:t>
      </w:r>
    </w:p>
    <w:bookmarkEnd w:id="32"/>
    <w:bookmarkStart w:id="33" w:name="regulatory-compliance-and-governance"/>
    <w:p>
      <w:pPr>
        <w:pStyle w:val="Heading3"/>
      </w:pPr>
      <w:r>
        <w:t xml:space="preserve">6.4 Regulatory Compliance and Governance</w:t>
      </w:r>
    </w:p>
    <w:p>
      <w:pPr>
        <w:pStyle w:val="FirstParagraph"/>
      </w:pPr>
      <w:r>
        <w:t xml:space="preserve">Given the strict regulatory landscape governing financial institutions—such as GDPR, the Fair Credit Reporting Act (FCRA), and proposed legislation like the EU’s AI Act—our system was designed with compliance in mind:</w:t>
      </w:r>
    </w:p>
    <w:p>
      <w:pPr>
        <w:pStyle w:val="Compact"/>
        <w:numPr>
          <w:ilvl w:val="0"/>
          <w:numId w:val="1025"/>
        </w:numPr>
      </w:pPr>
      <w:r>
        <w:t xml:space="preserve">Comprehensive documentation of model development and decision processes</w:t>
      </w:r>
    </w:p>
    <w:p>
      <w:pPr>
        <w:pStyle w:val="Compact"/>
        <w:numPr>
          <w:ilvl w:val="0"/>
          <w:numId w:val="1025"/>
        </w:numPr>
      </w:pPr>
      <w:r>
        <w:t xml:space="preserve">Ability to provide explanations for individual decisions</w:t>
      </w:r>
    </w:p>
    <w:p>
      <w:pPr>
        <w:pStyle w:val="Compact"/>
        <w:numPr>
          <w:ilvl w:val="0"/>
          <w:numId w:val="1025"/>
        </w:numPr>
      </w:pPr>
      <w:r>
        <w:t xml:space="preserve">Regular fairness audits and bias mitigation strategies</w:t>
      </w:r>
    </w:p>
    <w:p>
      <w:pPr>
        <w:pStyle w:val="Compact"/>
        <w:numPr>
          <w:ilvl w:val="0"/>
          <w:numId w:val="1025"/>
        </w:numPr>
      </w:pPr>
      <w:r>
        <w:t xml:space="preserve">Privacy-preserving techniques for handling sensitive financial data</w:t>
      </w:r>
    </w:p>
    <w:p>
      <w:pPr>
        <w:pStyle w:val="FirstParagraph"/>
      </w:pPr>
      <w:r>
        <w:t xml:space="preserve">As regulatory requirements for AI systems continue to evolve, our approach provides a foundation for maintaining compliance while delivering effective fraud detection capabilities. We have also established a governance framework that includes:</w:t>
      </w:r>
    </w:p>
    <w:p>
      <w:pPr>
        <w:pStyle w:val="Compact"/>
        <w:numPr>
          <w:ilvl w:val="0"/>
          <w:numId w:val="1026"/>
        </w:numPr>
      </w:pPr>
      <w:r>
        <w:t xml:space="preserve">Regular model monitoring and validation</w:t>
      </w:r>
    </w:p>
    <w:p>
      <w:pPr>
        <w:pStyle w:val="Compact"/>
        <w:numPr>
          <w:ilvl w:val="0"/>
          <w:numId w:val="1026"/>
        </w:numPr>
      </w:pPr>
      <w:r>
        <w:t xml:space="preserve">Clear accountability structures for model decisions</w:t>
      </w:r>
    </w:p>
    <w:p>
      <w:pPr>
        <w:pStyle w:val="Compact"/>
        <w:numPr>
          <w:ilvl w:val="0"/>
          <w:numId w:val="1026"/>
        </w:numPr>
      </w:pPr>
      <w:r>
        <w:t xml:space="preserve">Processes for addressing customer complaints and appeals</w:t>
      </w:r>
    </w:p>
    <w:p>
      <w:pPr>
        <w:pStyle w:val="Compact"/>
        <w:numPr>
          <w:ilvl w:val="0"/>
          <w:numId w:val="1026"/>
        </w:numPr>
      </w:pPr>
      <w:r>
        <w:t xml:space="preserve">Continuous evaluation against emerging regulatory standards</w:t>
      </w:r>
    </w:p>
    <w:p>
      <w:pPr>
        <w:pStyle w:val="FirstParagraph"/>
      </w:pPr>
      <w:r>
        <w:t xml:space="preserve">This governance framework helps ensure that our fraud detection system remains both effective and compliant in a rapidly evolving regulatory landscape.</w:t>
      </w:r>
    </w:p>
    <w:bookmarkEnd w:id="33"/>
    <w:bookmarkEnd w:id="34"/>
    <w:bookmarkStart w:id="35" w:name="limitations-and-future-work"/>
    <w:p>
      <w:pPr>
        <w:pStyle w:val="Heading2"/>
      </w:pPr>
      <w:r>
        <w:t xml:space="preserve">7. Limitations and Future Work</w:t>
      </w:r>
    </w:p>
    <w:p>
      <w:pPr>
        <w:pStyle w:val="FirstParagraph"/>
      </w:pPr>
      <w:r>
        <w:t xml:space="preserve">While our approach demonstrates strong performance, several limitations should be acknowledged:</w:t>
      </w:r>
    </w:p>
    <w:p>
      <w:pPr>
        <w:pStyle w:val="Compact"/>
        <w:numPr>
          <w:ilvl w:val="0"/>
          <w:numId w:val="1027"/>
        </w:numPr>
      </w:pPr>
      <w:r>
        <w:rPr>
          <w:b/>
          <w:bCs/>
        </w:rPr>
        <w:t xml:space="preserve">Data Representation</w:t>
      </w:r>
      <w:r>
        <w:t xml:space="preserve">: While our datasets include a range of fraud rates (0.172% to 3.5%), real-world fraud rates can be even lower, potentially requiring additional techniques for extreme imbalance</w:t>
      </w:r>
    </w:p>
    <w:p>
      <w:pPr>
        <w:pStyle w:val="Compact"/>
        <w:numPr>
          <w:ilvl w:val="0"/>
          <w:numId w:val="1027"/>
        </w:numPr>
      </w:pPr>
      <w:r>
        <w:rPr>
          <w:b/>
          <w:bCs/>
        </w:rPr>
        <w:t xml:space="preserve">Concept Drift</w:t>
      </w:r>
      <w:r>
        <w:t xml:space="preserve">: Fraud patterns evolve over time, requiring continuous model updating</w:t>
      </w:r>
    </w:p>
    <w:p>
      <w:pPr>
        <w:pStyle w:val="Compact"/>
        <w:numPr>
          <w:ilvl w:val="0"/>
          <w:numId w:val="1027"/>
        </w:numPr>
      </w:pPr>
      <w:r>
        <w:rPr>
          <w:b/>
          <w:bCs/>
        </w:rPr>
        <w:t xml:space="preserve">Limited Demographics</w:t>
      </w:r>
      <w:r>
        <w:t xml:space="preserve">: Our fairness evaluation focused primarily on transaction characteristics rather than comprehensive customer demographics</w:t>
      </w:r>
    </w:p>
    <w:p>
      <w:pPr>
        <w:pStyle w:val="Compact"/>
        <w:numPr>
          <w:ilvl w:val="0"/>
          <w:numId w:val="1027"/>
        </w:numPr>
      </w:pPr>
      <w:r>
        <w:rPr>
          <w:b/>
          <w:bCs/>
        </w:rPr>
        <w:t xml:space="preserve">Computational Efficiency</w:t>
      </w:r>
      <w:r>
        <w:t xml:space="preserve">: Memory optimization challenges with large datasets required custom solutions for efficient training</w:t>
      </w:r>
    </w:p>
    <w:p>
      <w:pPr>
        <w:pStyle w:val="FirstParagraph"/>
      </w:pPr>
      <w:r>
        <w:t xml:space="preserve">Future work will address these limitations through:</w:t>
      </w:r>
    </w:p>
    <w:p>
      <w:pPr>
        <w:pStyle w:val="Compact"/>
        <w:numPr>
          <w:ilvl w:val="0"/>
          <w:numId w:val="1028"/>
        </w:numPr>
      </w:pPr>
      <w:r>
        <w:rPr>
          <w:b/>
          <w:bCs/>
        </w:rPr>
        <w:t xml:space="preserve">Advanced Sampling</w:t>
      </w:r>
      <w:r>
        <w:t xml:space="preserve">: Testing more sophisticated sampling approaches for extreme imbalance scenarios below 0.1% fraud rate</w:t>
      </w:r>
    </w:p>
    <w:p>
      <w:pPr>
        <w:pStyle w:val="Compact"/>
        <w:numPr>
          <w:ilvl w:val="0"/>
          <w:numId w:val="1028"/>
        </w:numPr>
      </w:pPr>
      <w:r>
        <w:rPr>
          <w:b/>
          <w:bCs/>
        </w:rPr>
        <w:t xml:space="preserve">Online Learning</w:t>
      </w:r>
      <w:r>
        <w:t xml:space="preserve">: Developing incremental learning approaches that adapt to evolving fraud patterns</w:t>
      </w:r>
    </w:p>
    <w:p>
      <w:pPr>
        <w:pStyle w:val="Compact"/>
        <w:numPr>
          <w:ilvl w:val="0"/>
          <w:numId w:val="1028"/>
        </w:numPr>
      </w:pPr>
      <w:r>
        <w:rPr>
          <w:b/>
          <w:bCs/>
        </w:rPr>
        <w:t xml:space="preserve">Extended Fairness Metrics</w:t>
      </w:r>
      <w:r>
        <w:t xml:space="preserve">: Incorporating additional fairness dimensions across more demographic variables</w:t>
      </w:r>
    </w:p>
    <w:p>
      <w:pPr>
        <w:pStyle w:val="Compact"/>
        <w:numPr>
          <w:ilvl w:val="0"/>
          <w:numId w:val="1028"/>
        </w:numPr>
      </w:pPr>
      <w:r>
        <w:rPr>
          <w:b/>
          <w:bCs/>
        </w:rPr>
        <w:t xml:space="preserve">Edge Computing</w:t>
      </w:r>
      <w:r>
        <w:t xml:space="preserve">: Exploring model compression and quantization for deployment on edge devices to enable real-time fraud detection with lower computational resources</w:t>
      </w:r>
    </w:p>
    <w:bookmarkEnd w:id="35"/>
    <w:bookmarkStart w:id="36" w:name="conclusion"/>
    <w:p>
      <w:pPr>
        <w:pStyle w:val="Heading2"/>
      </w:pPr>
      <w:r>
        <w:t xml:space="preserve">8. Conclusion</w:t>
      </w:r>
    </w:p>
    <w:p>
      <w:pPr>
        <w:pStyle w:val="FirstParagraph"/>
      </w:pPr>
      <w:r>
        <w:t xml:space="preserve">This research demonstrates the effectiveness of a multi-model approach to financial fraud detection that combines LightGBM optimization, autoencoder-based anomaly detection, and feature engineering. Our system achieves impressive performance metrics across different datasets, with the Credit Card dataset showing exceptional results (AUC 0.9730, AP 0.7102) and the more complex IEEE-CIS dataset demonstrating robust performance (AUC 0.8368, AP 0.3940).</w:t>
      </w:r>
    </w:p>
    <w:p>
      <w:pPr>
        <w:pStyle w:val="BodyText"/>
      </w:pPr>
      <w:r>
        <w:t xml:space="preserve">The integration of fairness evaluation into the fraud detection pipeline represents an important step toward responsible AI deployment in financial services. By ensuring that fraud detection systems perform equitably across different transaction contexts, we can build more trustworthy systems that protect both financial institutions and their customers.</w:t>
      </w:r>
    </w:p>
    <w:p>
      <w:pPr>
        <w:pStyle w:val="BodyText"/>
      </w:pPr>
      <w:r>
        <w:t xml:space="preserve">Our findings confirm our initial hypothesis that combining advanced feature engineering with optimized machine learning models and autoencoder-based anomaly detection significantly outperforms traditional approaches. The complementary nature of these techniques—with autoencoders excelling at detecting subtle numerical anomalies and supervised models providing classification confidence—creates a more robust system than either approach alone.</w:t>
      </w:r>
    </w:p>
    <w:p>
      <w:pPr>
        <w:pStyle w:val="BodyText"/>
      </w:pPr>
      <w:r>
        <w:t xml:space="preserve">The technical innovations developed in this research, including memory optimization strategies and effective handling of class imbalance, have potential applications beyond fraud detection to other domains requiring high-performance machine learning on constrained resources. By focusing on both technical excellence and ethical considerations, this work contributes to the development of AI systems that are not only effective but also fair and trustworthy.</w:t>
      </w:r>
    </w:p>
    <w:p>
      <w:pPr>
        <w:pStyle w:val="BodyText"/>
      </w:pPr>
      <w:r>
        <w:t xml:space="preserve">As financial fraud continues to evolve in sophistication, approaches that combine multiple modeling techniques while ensuring fairness will become increasingly important. Our work provides a foundation for future research in this critical area, with potential applications beyond fraud detection to other financial risk management domains.</w:t>
      </w:r>
    </w:p>
    <w:bookmarkEnd w:id="36"/>
    <w:bookmarkStart w:id="37" w:name="references"/>
    <w:p>
      <w:pPr>
        <w:pStyle w:val="Heading2"/>
      </w:pPr>
      <w:r>
        <w:t xml:space="preserve">References</w:t>
      </w:r>
    </w:p>
    <w:p>
      <w:pPr>
        <w:pStyle w:val="FirstParagraph"/>
      </w:pPr>
      <w:r>
        <w:t xml:space="preserve">American Bankers Association. (2023).</w:t>
      </w:r>
      <w:r>
        <w:t xml:space="preserve"> </w:t>
      </w:r>
      <w:r>
        <w:rPr>
          <w:i/>
          <w:iCs/>
        </w:rPr>
        <w:t xml:space="preserve">ABA Deposit Account Fraud Survey Report</w:t>
      </w:r>
      <w:r>
        <w:t xml:space="preserve">. Washington, DC: ABA.</w:t>
      </w:r>
    </w:p>
    <w:p>
      <w:pPr>
        <w:pStyle w:val="BodyText"/>
      </w:pPr>
      <w:r>
        <w:t xml:space="preserve">Barocas, S., &amp; Selbst, A. D. (2016). Big data’s disparate impact.</w:t>
      </w:r>
      <w:r>
        <w:t xml:space="preserve"> </w:t>
      </w:r>
      <w:r>
        <w:rPr>
          <w:i/>
          <w:iCs/>
        </w:rPr>
        <w:t xml:space="preserve">California Law Review, 104</w:t>
      </w:r>
      <w:r>
        <w:t xml:space="preserve">, 671-732. https://doi.org/10.15779/Z38BG31</w:t>
      </w:r>
    </w:p>
    <w:p>
      <w:pPr>
        <w:pStyle w:val="BodyText"/>
      </w:pPr>
      <w:r>
        <w:t xml:space="preserve">Brownlee, J. (2020).</w:t>
      </w:r>
      <w:r>
        <w:t xml:space="preserve"> </w:t>
      </w:r>
      <w:r>
        <w:rPr>
          <w:i/>
          <w:iCs/>
        </w:rPr>
        <w:t xml:space="preserve">Imbalanced classification with Python: Better metrics, balance skewed classes, cost-sensitive learning</w:t>
      </w:r>
      <w:r>
        <w:t xml:space="preserve">. Machine Learning Mastery.</w:t>
      </w:r>
    </w:p>
    <w:p>
      <w:pPr>
        <w:pStyle w:val="BodyText"/>
      </w:pPr>
      <w:r>
        <w:t xml:space="preserve">Chawla, N. V., Bowyer, K. W., Hall, L. O., &amp; Kegelmeyer, W. P. (2002). SMOTE: Synthetic minority over-sampling technique.</w:t>
      </w:r>
      <w:r>
        <w:t xml:space="preserve"> </w:t>
      </w:r>
      <w:r>
        <w:rPr>
          <w:i/>
          <w:iCs/>
        </w:rPr>
        <w:t xml:space="preserve">Journal of Artificial Intelligence Research, 16</w:t>
      </w:r>
      <w:r>
        <w:t xml:space="preserve">, 321-357. https://doi.org/10.1613/jair.953</w:t>
      </w:r>
    </w:p>
    <w:p>
      <w:pPr>
        <w:pStyle w:val="BodyText"/>
      </w:pPr>
      <w:r>
        <w:t xml:space="preserve">Corcoran, S. M., &amp; Soscia, R. J. (2024, March 17). AI and other decision-making tools: Does the Fair Credit Reporting Act apply?</w:t>
      </w:r>
      <w:r>
        <w:t xml:space="preserve"> </w:t>
      </w:r>
      <w:r>
        <w:rPr>
          <w:i/>
          <w:iCs/>
        </w:rPr>
        <w:t xml:space="preserve">Workplace Privacy, Data Management &amp; Security Report</w:t>
      </w:r>
      <w:r>
        <w:t xml:space="preserve">. https://www.workplaceprivacyreport.com/2024/03/articles/artificial-intelligence/ai-and-other-decision-making-tools-does-the-fair-credit-reporting-act-apply/</w:t>
      </w:r>
    </w:p>
    <w:p>
      <w:pPr>
        <w:pStyle w:val="BodyText"/>
      </w:pPr>
      <w:r>
        <w:t xml:space="preserve">Floridi, L. (2019). Translating principles into practices of digital ethics: Five risks of being unethical.</w:t>
      </w:r>
      <w:r>
        <w:t xml:space="preserve"> </w:t>
      </w:r>
      <w:r>
        <w:rPr>
          <w:i/>
          <w:iCs/>
        </w:rPr>
        <w:t xml:space="preserve">Philosophy &amp; Technology, 32</w:t>
      </w:r>
      <w:r>
        <w:t xml:space="preserve">, 185-193. https://doi.org/10.1007/s13347-019-00354-x</w:t>
      </w:r>
    </w:p>
    <w:p>
      <w:pPr>
        <w:pStyle w:val="BodyText"/>
      </w:pPr>
      <w:r>
        <w:t xml:space="preserve">Hardt, M., Price, E., &amp; Srebro, N. (2016). Equality of opportunity in supervised learning.</w:t>
      </w:r>
      <w:r>
        <w:t xml:space="preserve"> </w:t>
      </w:r>
      <w:r>
        <w:rPr>
          <w:i/>
          <w:iCs/>
        </w:rPr>
        <w:t xml:space="preserve">Advances in Neural Information Processing Systems, 29</w:t>
      </w:r>
      <w:r>
        <w:t xml:space="preserve">, 3315-3323.</w:t>
      </w:r>
    </w:p>
    <w:p>
      <w:pPr>
        <w:pStyle w:val="BodyText"/>
      </w:pPr>
      <w:r>
        <w:t xml:space="preserve">IBM. (2024). AI compliance: What it is, why it matters and how to get started.</w:t>
      </w:r>
      <w:r>
        <w:t xml:space="preserve"> </w:t>
      </w:r>
      <w:r>
        <w:rPr>
          <w:i/>
          <w:iCs/>
        </w:rPr>
        <w:t xml:space="preserve">IBM Think Insights</w:t>
      </w:r>
      <w:r>
        <w:t xml:space="preserve">. https://www.ibm.com/think/insights/ai-compliance</w:t>
      </w:r>
    </w:p>
    <w:p>
      <w:pPr>
        <w:pStyle w:val="BodyText"/>
      </w:pPr>
      <w:r>
        <w:t xml:space="preserve">Lundberg, S. M., &amp; Lee, S. I. (2017). A unified approach to interpreting model predictions.</w:t>
      </w:r>
      <w:r>
        <w:t xml:space="preserve"> </w:t>
      </w:r>
      <w:r>
        <w:rPr>
          <w:i/>
          <w:iCs/>
        </w:rPr>
        <w:t xml:space="preserve">Advances in Neural Information Processing Systems, 30</w:t>
      </w:r>
      <w:r>
        <w:t xml:space="preserve">, 4765-4774.</w:t>
      </w:r>
    </w:p>
    <w:p>
      <w:pPr>
        <w:pStyle w:val="BodyText"/>
      </w:pPr>
      <w:r>
        <w:t xml:space="preserve">Nilson Report. (2023).</w:t>
      </w:r>
      <w:r>
        <w:t xml:space="preserve"> </w:t>
      </w:r>
      <w:r>
        <w:rPr>
          <w:i/>
          <w:iCs/>
        </w:rPr>
        <w:t xml:space="preserve">Card Fraud Losses Reach $32.34 Billion</w:t>
      </w:r>
      <w:r>
        <w:t xml:space="preserve">. Issue 1243.</w:t>
      </w:r>
    </w:p>
    <w:p>
      <w:pPr>
        <w:pStyle w:val="BodyText"/>
      </w:pPr>
      <w:r>
        <w:t xml:space="preserve">Olowu, O., Adeleye, A. O., Omokanye, A. O., Ajayi, A. M., Adepoju, A. O., Omole, O. M., &amp; Chianumba, E. C. (2024). AI-driven fraud detection in banking: A systematic review of data science approaches to enhancing cybersecurity.</w:t>
      </w:r>
      <w:r>
        <w:t xml:space="preserve"> </w:t>
      </w:r>
      <w:r>
        <w:rPr>
          <w:i/>
          <w:iCs/>
        </w:rPr>
        <w:t xml:space="preserve">GSC Advanced Research and Reviews, 21</w:t>
      </w:r>
      <w:r>
        <w:t xml:space="preserve">(2), 227–237. https://doi.org/10.30574/gscarr.2024.21.2.0418</w:t>
      </w:r>
    </w:p>
    <w:p>
      <w:pPr>
        <w:pStyle w:val="BodyText"/>
      </w:pPr>
      <w:r>
        <w:t xml:space="preserve">Ribeiro, M. T., Singh, S., &amp; Guestrin, C. (2016).</w:t>
      </w:r>
      <w:r>
        <w:t xml:space="preserve"> </w:t>
      </w:r>
      <w:r>
        <w:t xml:space="preserve">“Why should I trust you?”</w:t>
      </w:r>
      <w:r>
        <w:t xml:space="preserve">: Explaining the predictions of any classifier.</w:t>
      </w:r>
      <w:r>
        <w:t xml:space="preserve"> </w:t>
      </w:r>
      <w:r>
        <w:rPr>
          <w:i/>
          <w:iCs/>
        </w:rPr>
        <w:t xml:space="preserve">Proceedings of the 22nd ACM SIGKDD International Conference on Knowledge Discovery and Data Mining</w:t>
      </w:r>
      <w:r>
        <w:t xml:space="preserve">, 1135-1144. https://doi.org/10.1145/2939672.2939778</w:t>
      </w:r>
    </w:p>
    <w:p>
      <w:pPr>
        <w:pStyle w:val="BodyText"/>
      </w:pPr>
      <w:r>
        <w:t xml:space="preserve">Rudin, C. (2019). Stop explaining black box machine learning models for high stakes decisions and use interpretable models instead.</w:t>
      </w:r>
      <w:r>
        <w:t xml:space="preserve"> </w:t>
      </w:r>
      <w:r>
        <w:rPr>
          <w:i/>
          <w:iCs/>
        </w:rPr>
        <w:t xml:space="preserve">Nature Machine Intelligence, 1</w:t>
      </w:r>
      <w:r>
        <w:t xml:space="preserve">, 206-215. https://doi.org/10.1038/s42256-019-0048-x</w:t>
      </w:r>
    </w:p>
    <w:p>
      <w:pPr>
        <w:pStyle w:val="BodyText"/>
      </w:pPr>
      <w:r>
        <w:t xml:space="preserve">Talha, M. (2023). AI-powered banking fraud detection dataset.</w:t>
      </w:r>
      <w:r>
        <w:t xml:space="preserve"> </w:t>
      </w:r>
      <w:r>
        <w:rPr>
          <w:i/>
          <w:iCs/>
        </w:rPr>
        <w:t xml:space="preserve">Kaggle</w:t>
      </w:r>
      <w:r>
        <w:t xml:space="preserve">. https://www.kaggle.com/datasets/mdtalhask/ai-powered-banking-fraud-detection-dataset-2025</w:t>
      </w:r>
    </w:p>
    <w:p>
      <w:pPr>
        <w:pStyle w:val="BodyText"/>
      </w:pPr>
      <w:r>
        <w:t xml:space="preserve">Zhou, C., &amp; Paffenroth, R. C. (2017). Anomaly detection with robust deep autoencoders.</w:t>
      </w:r>
      <w:r>
        <w:t xml:space="preserve"> </w:t>
      </w:r>
      <w:r>
        <w:rPr>
          <w:i/>
          <w:iCs/>
        </w:rPr>
        <w:t xml:space="preserve">Proceedings of the 23rd ACM SIGKDD International Conference on Knowledge Discovery and Data Mining</w:t>
      </w:r>
      <w:r>
        <w:t xml:space="preserve">, 665-674. https://doi.org/10.1145/3097983.3098052</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2025-09-04T02:17:29Z</dcterms:created>
  <dcterms:modified xsi:type="dcterms:W3CDTF">2025-09-04T02:17:29Z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/Users/komalshahid/Desktop/Bellevue University/DSC680/projects/project13-dsc680/docs/apa.csl</vt:lpwstr>
  </property>
</Properties>
</file>