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32"/>
          <w:szCs w:val="32"/>
        </w:rPr>
        <w:t xml:space="preserve">AI-Driven Content Strategy Engine</w:t>
      </w:r>
    </w:p>
    <w:p>
      <w:pPr>
        <w:spacing w:after="200"/>
        <w:jc w:val="center"/>
      </w:pPr>
      <w:r>
        <w:rPr>
          <w:i/>
          <w:iCs/>
          <w:color w:val="404040"/>
          <w:sz w:val="22"/>
          <w:szCs w:val="22"/>
        </w:rPr>
        <w:t xml:space="preserve">Milestone 3 — Anticipated Q&amp;A</w:t>
      </w:r>
    </w:p>
    <w:p>
      <w:pPr>
        <w:spacing w:after="320"/>
        <w:jc w:val="center"/>
      </w:pPr>
      <w:r>
        <w:rPr>
          <w:color w:val="595959"/>
          <w:sz w:val="20"/>
          <w:szCs w:val="20"/>
        </w:rPr>
        <w:t xml:space="preserve">Komal Shahid  |  Bellevue University MSDS  |  DSC680  |  May 2026</w:t>
      </w:r>
    </w:p>
    <w:p>
      <w:pPr>
        <w:spacing w:after="240"/>
      </w:pPr>
      <w:r>
        <w:rPr>
          <w:i/>
          <w:iCs/>
          <w:color w:val="404040"/>
        </w:rPr>
        <w:t xml:space="preserve">This document anticipates likely instructor and reviewer questions for the final presentation. Each question is paired with a concise answer that cites the specific result, figure, or section in the whitepaper. It serves as both a defense brief and a study guide for the live presentation.</w:t>
      </w:r>
    </w:p>
    <w:p>
      <w:pPr>
        <w:pStyle w:val="Heading1"/>
        <w:spacing w:after="160" w:before="320"/>
      </w:pPr>
      <w:r>
        <w:t xml:space="preserve">Section A — Data and corpus</w:t>
      </w:r>
    </w:p>
    <w:p>
      <w:pPr>
        <w:spacing w:after="100" w:before="280"/>
      </w:pPr>
      <w:r>
        <w:rPr>
          <w:b/>
          <w:bCs/>
          <w:color w:val="1F3864"/>
        </w:rPr>
        <w:t xml:space="preserve">Q1.  </w:t>
      </w:r>
      <w:r>
        <w:rPr>
          <w:b/>
          <w:bCs/>
          <w:color w:val="1F3864"/>
          <w:sz w:val="24"/>
          <w:szCs w:val="24"/>
        </w:rPr>
        <w:t xml:space="preserve">Why is the analysis run on a synthetic corpus and not on live Reddit data?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Three reasons. First, reproducibility: Reddit's content surface, ranking, and rate limits change without notice; if the grading run hits a 429 or a different week's top-100, the reported numbers shift. Second, time budget: 12,000 posts at the free-tier ceiling (100 RPM) is roughly 25 uninterrupted minutes per pull, which is fragile inside a single session. Third, methods validation: the corpus has known ground-truth effects baked in, so the analysis is judged on whether it recovers them — which is the right test for a methodology project. The repository ships a working RedditCollector, a trendspyg client, and a BlogScraper so a one-week replication on live data is a configuration change, not a code change.</w:t>
      </w:r>
    </w:p>
    <w:p>
      <w:pPr>
        <w:spacing w:after="100" w:before="280"/>
      </w:pPr>
      <w:r>
        <w:rPr>
          <w:b/>
          <w:bCs/>
          <w:color w:val="1F3864"/>
        </w:rPr>
        <w:t xml:space="preserve">Q2.  </w:t>
      </w:r>
      <w:r>
        <w:rPr>
          <w:b/>
          <w:bCs/>
          <w:color w:val="1F3864"/>
          <w:sz w:val="24"/>
          <w:szCs w:val="24"/>
        </w:rPr>
        <w:t xml:space="preserve">How is the synthetic corpus 'realistic' rather than arbitrary?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Engagement is generated as the additive sum of literature-consistent topic, format, hook, day-of-week, daypart, and subreddit-size effects on the log scale, with normal noise. Subreddit-size is the largest single effect (a known confounder in Reddit research); topic is the largest content effect; effect sizes are small-to-small-medium, matching what published studies of organic engagement actually find. The distribution of scores is log-normal with the heavy right tail seen in real Reddit corpora (median 17, mean 26.4, max in the hundreds).</w:t>
      </w:r>
    </w:p>
    <w:p>
      <w:pPr>
        <w:spacing w:after="100" w:before="280"/>
      </w:pPr>
      <w:r>
        <w:rPr>
          <w:b/>
          <w:bCs/>
          <w:color w:val="1F3864"/>
        </w:rPr>
        <w:t xml:space="preserve">Q3.  </w:t>
      </w:r>
      <w:r>
        <w:rPr>
          <w:b/>
          <w:bCs/>
          <w:color w:val="1F3864"/>
          <w:sz w:val="24"/>
          <w:szCs w:val="24"/>
        </w:rPr>
        <w:t xml:space="preserve">Why was pytrends swapped out for trendspyg?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pytrends was archived in April 2025 and is no longer maintained. trendspyg is the actively maintained drop-in successor that exposes the same interest-over-time, related-queries, and rising-queries calls. Milestone 1 was updated to reflect this once the source-recheck flagged it.</w:t>
      </w:r>
    </w:p>
    <w:p>
      <w:pPr>
        <w:spacing w:after="100" w:before="280"/>
      </w:pPr>
      <w:r>
        <w:rPr>
          <w:b/>
          <w:bCs/>
          <w:color w:val="1F3864"/>
        </w:rPr>
        <w:t xml:space="preserve">Q4.  </w:t>
      </w:r>
      <w:r>
        <w:rPr>
          <w:b/>
          <w:bCs/>
          <w:color w:val="1F3864"/>
          <w:sz w:val="24"/>
          <w:szCs w:val="24"/>
        </w:rPr>
        <w:t xml:space="preserve">Where does the $107B 2026 content-marketing figure come from?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Content Marketing Institute's 2026 B2B research, cited in the whitepaper references. The same source also reports that content is roughly 26% of total marketing spend in 2026 — both numbers are used in the deck and paper.</w:t>
      </w:r>
    </w:p>
    <w:p>
      <w:pPr>
        <w:pStyle w:val="Heading1"/>
        <w:spacing w:after="160" w:before="320"/>
      </w:pPr>
      <w:r>
        <w:t xml:space="preserve">Section B — Modeling and statistics</w:t>
      </w:r>
    </w:p>
    <w:p>
      <w:pPr>
        <w:spacing w:after="100" w:before="280"/>
      </w:pPr>
      <w:r>
        <w:rPr>
          <w:b/>
          <w:bCs/>
          <w:color w:val="1F3864"/>
        </w:rPr>
        <w:t xml:space="preserve">Q5.  </w:t>
      </w:r>
      <w:r>
        <w:rPr>
          <w:b/>
          <w:bCs/>
          <w:color w:val="1F3864"/>
          <w:sz w:val="24"/>
          <w:szCs w:val="24"/>
        </w:rPr>
        <w:t xml:space="preserve">OLS beat gradient boosting on R². Is your nonlinear model broken?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No, that gap is expected on a corpus where the data-generating process is additive on the log scale. With only additive linear effects, a tree ensemble's extra capacity goes into modeling noise interactions and gives back a small amount of test-set R². Both models agree on the predictor hierarchy (subreddit size → topic → hook → format → time), which is the actually-load-bearing finding. On live data with interaction effects (e.g., topic × subreddit), the gradient-boosted model is expected to overtake OLS — the pipeline keeps both.</w:t>
      </w:r>
    </w:p>
    <w:p>
      <w:pPr>
        <w:spacing w:after="100" w:before="280"/>
      </w:pPr>
      <w:r>
        <w:rPr>
          <w:b/>
          <w:bCs/>
          <w:color w:val="1F3864"/>
        </w:rPr>
        <w:t xml:space="preserve">Q6.  </w:t>
      </w:r>
      <w:r>
        <w:rPr>
          <w:b/>
          <w:bCs/>
          <w:color w:val="1F3864"/>
          <w:sz w:val="24"/>
          <w:szCs w:val="24"/>
        </w:rPr>
        <w:t xml:space="preserve">Your η² values are small. Doesn't that mean the effects don't matter?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It means no single factor is a magic bullet, which is realistic for multifactorial content data. With 12 topics, 7 formats, 5 hooks, plus controls, you would not expect a single factor to dominate. The playbook is built on combined ordinal effects across multiple factors, not on any single factor's absolute magnitude — that's why the topic × format heatmap is the central visual and why the recommendation is to act on combinations (recovery + how-to + Tuesday morning), not isolated levers.</w:t>
      </w:r>
    </w:p>
    <w:p>
      <w:pPr>
        <w:spacing w:after="100" w:before="280"/>
      </w:pPr>
      <w:r>
        <w:rPr>
          <w:b/>
          <w:bCs/>
          <w:color w:val="1F3864"/>
        </w:rPr>
        <w:t xml:space="preserve">Q7.  </w:t>
      </w:r>
      <w:r>
        <w:rPr>
          <w:b/>
          <w:bCs/>
          <w:color w:val="1F3864"/>
          <w:sz w:val="24"/>
          <w:szCs w:val="24"/>
        </w:rPr>
        <w:t xml:space="preserve">How do you defend the +37% generation uplift claim?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It is an explicit model prediction, not a measured outcome — and the document says so. The number is the mean difference in predicted log-engagement between sixty AI-conditioned drafts and sixty uniformly sampled baseline drafts (n = 60 each), bootstrapped 1,000 times to give a 95% CI of [+0.137, +0.496] log units, which is +15% to +64% on the engagement scale. The interval excludes zero, so the conditioning is doing something inside the model. To turn predicted uplift into realized uplift requires a live A/B test on the platform; the recommended protocol is in the playbook section.</w:t>
      </w:r>
    </w:p>
    <w:p>
      <w:pPr>
        <w:spacing w:after="100" w:before="280"/>
      </w:pPr>
      <w:r>
        <w:rPr>
          <w:b/>
          <w:bCs/>
          <w:color w:val="1F3864"/>
        </w:rPr>
        <w:t xml:space="preserve">Q8.  </w:t>
      </w:r>
      <w:r>
        <w:rPr>
          <w:b/>
          <w:bCs/>
          <w:color w:val="1F3864"/>
          <w:sz w:val="24"/>
          <w:szCs w:val="24"/>
        </w:rPr>
        <w:t xml:space="preserve">Why bootstrap instead of a t-test?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Two reasons: the predicted-engagement distribution is heavy-tailed even after the log transform, and the sample sizes (n = 60 vs. 60) are modest. Bootstrap CIs do not assume normality and are robust to the residual skew. A t-test would give a similar point estimate but a narrower (and overconfident) interval.</w:t>
      </w:r>
    </w:p>
    <w:p>
      <w:pPr>
        <w:pStyle w:val="Heading1"/>
        <w:spacing w:after="160" w:before="320"/>
      </w:pPr>
      <w:r>
        <w:t xml:space="preserve">Section C — Leading indicators and Trends</w:t>
      </w:r>
    </w:p>
    <w:p>
      <w:pPr>
        <w:spacing w:after="100" w:before="280"/>
      </w:pPr>
      <w:r>
        <w:rPr>
          <w:b/>
          <w:bCs/>
          <w:color w:val="1F3864"/>
        </w:rPr>
        <w:t xml:space="preserve">Q9.  </w:t>
      </w:r>
      <w:r>
        <w:rPr>
          <w:b/>
          <w:bCs/>
          <w:color w:val="1F3864"/>
          <w:sz w:val="24"/>
          <w:szCs w:val="24"/>
        </w:rPr>
        <w:t xml:space="preserve">RQ3 came back mixed. Should it have been dropped?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No — a per-topic answer is more useful than a categorical one. Google-Trends interest leads on-platform engagement on training (+2 weeks, r = 0.26) and gear (+5 weeks, r = 0.11) but not on recovery (−6 weeks) or sleep (−8 weeks). Reporting that honestly tells a client: 'use Trends as a leading signal on these topics, not those.' Dropping the analysis to keep a tidy narrative would have been a worse decision under the rubric's ethics and limitations expectations.</w:t>
      </w:r>
    </w:p>
    <w:p>
      <w:pPr>
        <w:spacing w:after="100" w:before="280"/>
      </w:pPr>
      <w:r>
        <w:rPr>
          <w:b/>
          <w:bCs/>
          <w:color w:val="1F3864"/>
        </w:rPr>
        <w:t xml:space="preserve">Q10.  </w:t>
      </w:r>
      <w:r>
        <w:rPr>
          <w:b/>
          <w:bCs/>
          <w:color w:val="1F3864"/>
          <w:sz w:val="24"/>
          <w:szCs w:val="24"/>
        </w:rPr>
        <w:t xml:space="preserve">How would lead-lag scale if you ran this on twelve niches instead of one?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Each niche-topic pair gets its own cross-correlation. The dashboard's lead-lag explorer page accepts (niche, topic) as a filter and surfaces per-topic best-lag and correlation, which is the deliverable form that scales.</w:t>
      </w:r>
    </w:p>
    <w:p>
      <w:pPr>
        <w:pStyle w:val="Heading1"/>
        <w:spacing w:after="160" w:before="320"/>
      </w:pPr>
      <w:r>
        <w:t xml:space="preserve">Section D — Generation and LLM use</w:t>
      </w:r>
    </w:p>
    <w:p>
      <w:pPr>
        <w:spacing w:after="100" w:before="280"/>
      </w:pPr>
      <w:r>
        <w:rPr>
          <w:b/>
          <w:bCs/>
          <w:color w:val="1F3864"/>
        </w:rPr>
        <w:t xml:space="preserve">Q11.  </w:t>
      </w:r>
      <w:r>
        <w:rPr>
          <w:b/>
          <w:bCs/>
          <w:color w:val="1F3864"/>
          <w:sz w:val="24"/>
          <w:szCs w:val="24"/>
        </w:rPr>
        <w:t xml:space="preserve">How is the generation step actually conditioned today vs. how it will be in production?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Today the M2 evaluation conditions by sampling categorical features from the empirically top-quartile buckets and scoring the resulting feature vector with the trained model. That tests whether the conditioning logic moves the model's prediction in the expected direction. Production conditioning is a structured LLM prompt that combines the same top combinations with the client's brand voice and asks for 20 drafts; the next-steps section in the M3 paper calls this out explicitly.</w:t>
      </w:r>
    </w:p>
    <w:p>
      <w:pPr>
        <w:spacing w:after="100" w:before="280"/>
      </w:pPr>
      <w:r>
        <w:rPr>
          <w:b/>
          <w:bCs/>
          <w:color w:val="1F3864"/>
        </w:rPr>
        <w:t xml:space="preserve">Q12.  </w:t>
      </w:r>
      <w:r>
        <w:rPr>
          <w:b/>
          <w:bCs/>
          <w:color w:val="1F3864"/>
          <w:sz w:val="24"/>
          <w:szCs w:val="24"/>
        </w:rPr>
        <w:t xml:space="preserve">What stops the system from generating misleading or manipulative content?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Three layers. Scope: standard marketing topics in a defined niche; political persuasion, health claims, and financial advice are explicitly out of scope and are blocklisted in the generator's allowed-topic list. Disclosure: every generated draft is flagged as AI-assisted in the dashboard and the playbook, consistent with the May 2026 FTC guidance update. Sign-off: the dashboard has a human-review checkbox so no draft ships without a human review step.</w:t>
      </w:r>
    </w:p>
    <w:p>
      <w:pPr>
        <w:pStyle w:val="Heading1"/>
        <w:spacing w:after="160" w:before="320"/>
      </w:pPr>
      <w:r>
        <w:t xml:space="preserve">Section E — Ethics, IP, and privacy</w:t>
      </w:r>
    </w:p>
    <w:p>
      <w:pPr>
        <w:spacing w:after="100" w:before="280"/>
      </w:pPr>
      <w:r>
        <w:rPr>
          <w:b/>
          <w:bCs/>
          <w:color w:val="1F3864"/>
        </w:rPr>
        <w:t xml:space="preserve">Q13.  </w:t>
      </w:r>
      <w:r>
        <w:rPr>
          <w:b/>
          <w:bCs/>
          <w:color w:val="1F3864"/>
          <w:sz w:val="24"/>
          <w:szCs w:val="24"/>
        </w:rPr>
        <w:t xml:space="preserve">Reddit posts are public — why does aggregation still matter for ethics?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Even on public posts, users do not necessarily expect their submissions to be aggregated and modeled. The project's response is to analyze only at the aggregate / content-attribute level, drop usernames after a subreddit-level control is computed, and avoid any per-user behavioral modeling or demographic inference. That keeps the work inside the spirit of platform terms and inside what an IRB would call minimal-risk human-subjects research even though it is not formally human-subjects.</w:t>
      </w:r>
    </w:p>
    <w:p>
      <w:pPr>
        <w:spacing w:after="100" w:before="280"/>
      </w:pPr>
      <w:r>
        <w:rPr>
          <w:b/>
          <w:bCs/>
          <w:color w:val="1F3864"/>
        </w:rPr>
        <w:t xml:space="preserve">Q14.  </w:t>
      </w:r>
      <w:r>
        <w:rPr>
          <w:b/>
          <w:bCs/>
          <w:color w:val="1F3864"/>
          <w:sz w:val="24"/>
          <w:szCs w:val="24"/>
        </w:rPr>
        <w:t xml:space="preserve">What about blog-article copyright when scraping?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The scraper stores titles, publish dates, word counts, declared topic tags, and (where exposed) share counts only — not full article bodies. That keeps the use inside fair-use bounds for academic analysis and avoids any risk of redistributing copyrighted text. The generator's drafts are original model output, not paraphrase of any single source article.</w:t>
      </w:r>
    </w:p>
    <w:p>
      <w:pPr>
        <w:pStyle w:val="Heading1"/>
        <w:spacing w:after="160" w:before="320"/>
      </w:pPr>
      <w:r>
        <w:t xml:space="preserve">Section F — Limitations and self-critique</w:t>
      </w:r>
    </w:p>
    <w:p>
      <w:pPr>
        <w:spacing w:after="100" w:before="280"/>
      </w:pPr>
      <w:r>
        <w:rPr>
          <w:b/>
          <w:bCs/>
          <w:color w:val="1F3864"/>
        </w:rPr>
        <w:t xml:space="preserve">Q15.  </w:t>
      </w:r>
      <w:r>
        <w:rPr>
          <w:b/>
          <w:bCs/>
          <w:color w:val="1F3864"/>
          <w:sz w:val="24"/>
          <w:szCs w:val="24"/>
        </w:rPr>
        <w:t xml:space="preserve">If a reviewer says 'this is just descriptive statistics dressed up,' what do you say?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The project is more than descriptives, but reviewers should be able to see exactly where it goes further. RQ1 is a predictive model with held-out R² and SHAP-style importances. RQ2 is inferential — ANOVA with effect sizes. RQ3 is temporal — cross-correlation lead-lag detection. RQ4 is generative-evaluation — bootstrap CIs on a treated-vs-control prediction difference. Together those cover supervised learning, inferential statistics, time-series structure, and generative AI evaluation. That is the breadth-of-MSDS rubric criterion.</w:t>
      </w:r>
    </w:p>
    <w:p>
      <w:pPr>
        <w:spacing w:after="100" w:before="280"/>
      </w:pPr>
      <w:r>
        <w:rPr>
          <w:b/>
          <w:bCs/>
          <w:color w:val="1F3864"/>
        </w:rPr>
        <w:t xml:space="preserve">Q16.  </w:t>
      </w:r>
      <w:r>
        <w:rPr>
          <w:b/>
          <w:bCs/>
          <w:color w:val="1F3864"/>
          <w:sz w:val="24"/>
          <w:szCs w:val="24"/>
        </w:rPr>
        <w:t xml:space="preserve">What would you do differently if you ran this again?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Three things. (1) Allocate the first week to a live one-week Reddit pull instead of synthesizing the corpus, so the M2 numbers are on real data. (2) Add a topic × subreddit interaction term to the OLS — the corpus only has main effects, but live data will not. (3) Replace the heuristic generator-conditioning step with a structured LLM prompt template earlier, so the +37% uplift is computed on LLM output rather than on feature samples that mimic LLM output.</w:t>
      </w:r>
    </w:p>
    <w:p>
      <w:pPr>
        <w:spacing w:after="100" w:before="280"/>
      </w:pPr>
      <w:r>
        <w:rPr>
          <w:b/>
          <w:bCs/>
          <w:color w:val="1F3864"/>
        </w:rPr>
        <w:t xml:space="preserve">Q17.  </w:t>
      </w:r>
      <w:r>
        <w:rPr>
          <w:b/>
          <w:bCs/>
          <w:color w:val="1F3864"/>
          <w:sz w:val="24"/>
          <w:szCs w:val="24"/>
        </w:rPr>
        <w:t xml:space="preserve">If you had to defend the project in one sentence, what is it?</w:t>
      </w:r>
    </w:p>
    <w:p>
      <w:pPr>
        <w:spacing w:after="80" w:before="60" w:line="300"/>
      </w:pPr>
      <w:r>
        <w:rPr>
          <w:b/>
          <w:bCs/>
          <w:color w:val="2E74B5"/>
        </w:rPr>
        <w:t xml:space="preserve">A.  </w:t>
      </w:r>
      <w:r>
        <w:t xml:space="preserve">The project shows the full data-science arc — supervised learning, inferential statistics, time-series, and generative-AI evaluation — applied to a real and common business problem (content strategy), with limitations and ethics carried in the body of the work rather than in an appendix.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Shahid — DSC680 Project 2 — Q&amp;A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DSC680 Project 2 — M3 Anticipated Q&amp;A</dc:title>
  <dc:creator>Komal Shahid</dc:creator>
  <cp:lastModifiedBy>Un-named</cp:lastModifiedBy>
  <cp:revision>1</cp:revision>
  <dcterms:created xsi:type="dcterms:W3CDTF">2026-05-20T01:22:48.043Z</dcterms:created>
  <dcterms:modified xsi:type="dcterms:W3CDTF">2026-05-20T01:22:48.043Z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