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D2137"/>
          <w:sz w:val="30"/>
          <w:szCs w:val="30"/>
        </w:rPr>
        <w:t xml:space="preserve">DSC680 — Week 1 Discussion Posts</w:t>
      </w:r>
    </w:p>
    <w:p>
      <w:pPr>
        <w:spacing w:after="20"/>
        <w:jc w:val="center"/>
      </w:pPr>
      <w:r>
        <w:rPr>
          <w:rFonts w:ascii="Arial" w:cs="Arial" w:eastAsia="Arial" w:hAnsi="Arial"/>
          <w:color w:val="444444"/>
          <w:sz w:val="20"/>
          <w:szCs w:val="20"/>
        </w:rPr>
        <w:t xml:space="preserve">Komal Shahid  |  March 2026</w:t>
      </w:r>
    </w:p>
    <w:p>
      <w:pPr>
        <w:pBdr>
          <w:bottom w:val="single" w:color="0D2137" w:sz="6" w:space="8"/>
        </w:pBdr>
        <w:spacing w:after="200"/>
      </w:pPr>
    </w:p>
    <w:p>
      <w:pPr>
        <w:shd w:fill="163B5E" w:val="clear"/>
        <w:spacing w:before="280" w:after="140"/>
      </w:pPr>
      <w:r>
        <w:rPr>
          <w:rFonts w:ascii="Arial" w:cs="Arial" w:eastAsia="Arial" w:hAnsi="Arial"/>
          <w:b/>
          <w:bCs/>
          <w:color w:val="FFFFFF"/>
          <w:sz w:val="24"/>
          <w:szCs w:val="24"/>
        </w:rPr>
        <w:t xml:space="preserve">  Post 1: Project Topic &amp; Ethics</w:t>
      </w:r>
    </w:p>
    <w:p>
      <w:pPr>
        <w:spacing w:after="160" w:line="288"/>
      </w:pPr>
      <w:r>
        <w:rPr>
          <w:rFonts w:ascii="Arial" w:cs="Arial" w:eastAsia="Arial" w:hAnsi="Arial"/>
          <w:color w:val="1A1A1A"/>
          <w:sz w:val="22"/>
          <w:szCs w:val="22"/>
        </w:rPr>
        <w:t xml:space="preserve">Hey everyone! For Project 1, I’m looking at mental health in the tech industry—specifically what predicts whether someone actually seeks professional help. I’m using the OSMI Mental Health in Tech Survey from Kaggle (~4,200 responses) and planning to run a few classification models (Logistic Regression, Random Forest, XGBoost) to see which workplace factors matter most.</w:t>
      </w:r>
    </w:p>
    <w:p>
      <w:pPr>
        <w:spacing w:after="160" w:line="288"/>
      </w:pPr>
      <w:r>
        <w:rPr>
          <w:rFonts w:ascii="Arial" w:cs="Arial" w:eastAsia="Arial" w:hAnsi="Arial"/>
          <w:color w:val="1A1A1A"/>
          <w:sz w:val="22"/>
          <w:szCs w:val="22"/>
        </w:rPr>
        <w:t xml:space="preserve">The ethics side is what makes this one tricky. A model like this could easily be misused—imagine an employer using it to flag “at-risk” employees instead of improving their benefits. I’m framing everything at the population level so it’s a policy tool, not an individual screening system. The dataset also skews toward English-speaking countries and men, so I need to be upfront about what the findings can and can’t generalize to.</w:t>
      </w:r>
    </w:p>
    <w:p>
      <w:pPr>
        <w:spacing w:after="160" w:line="288"/>
      </w:pPr>
      <w:r>
        <w:rPr>
          <w:rFonts w:ascii="Arial" w:cs="Arial" w:eastAsia="Arial" w:hAnsi="Arial"/>
          <w:color w:val="1A1A1A"/>
          <w:sz w:val="22"/>
          <w:szCs w:val="22"/>
        </w:rPr>
        <w:t xml:space="preserve">As we wrap up the program, it feels like a good time to think about how we handle sensitive data responsibly. The WHO estimates depression and anxiety cost around $1 trillion annually in lost productivity (WHO, 2022)—so the need for this kind of work is real, but so is the responsibility to do it carefully.</w:t>
      </w:r>
    </w:p>
    <w:p>
      <w:pPr>
        <w:spacing w:after="160" w:line="288"/>
      </w:pPr>
      <w:r>
        <w:rPr>
          <w:rFonts w:ascii="Arial" w:cs="Arial" w:eastAsia="Arial" w:hAnsi="Arial"/>
          <w:color w:val="1A1A1A"/>
          <w:sz w:val="22"/>
          <w:szCs w:val="22"/>
        </w:rPr>
        <w:t xml:space="preserve">Would love to hear what everyone else is working on!</w:t>
      </w:r>
    </w:p>
    <w:p>
      <w:pPr>
        <w:spacing w:before="100" w:after="60"/>
      </w:pPr>
      <w:r>
        <w:rPr>
          <w:rFonts w:ascii="Arial" w:cs="Arial" w:eastAsia="Arial" w:hAnsi="Arial"/>
          <w:b/>
          <w:bCs/>
          <w:color w:val="1A1A1A"/>
          <w:sz w:val="20"/>
          <w:szCs w:val="20"/>
        </w:rPr>
        <w:t xml:space="preserve">Reference</w:t>
      </w:r>
    </w:p>
    <w:p>
      <w:pPr>
        <w:spacing w:after="200" w:line="260"/>
        <w:ind w:left="480" w:hanging="480"/>
      </w:pPr>
      <w:r>
        <w:rPr>
          <w:rFonts w:ascii="Arial" w:cs="Arial" w:eastAsia="Arial" w:hAnsi="Arial"/>
          <w:color w:val="1A1A1A"/>
          <w:sz w:val="20"/>
          <w:szCs w:val="20"/>
        </w:rPr>
        <w:t xml:space="preserve">World Health Organization. (2022). </w:t>
      </w:r>
      <w:r>
        <w:rPr>
          <w:rFonts w:ascii="Arial" w:cs="Arial" w:eastAsia="Arial" w:hAnsi="Arial"/>
          <w:i/>
          <w:iCs/>
          <w:color w:val="1A1A1A"/>
          <w:sz w:val="20"/>
          <w:szCs w:val="20"/>
        </w:rPr>
        <w:t xml:space="preserve">Mental health at work</w:t>
      </w:r>
      <w:r>
        <w:rPr>
          <w:rFonts w:ascii="Arial" w:cs="Arial" w:eastAsia="Arial" w:hAnsi="Arial"/>
          <w:color w:val="1A1A1A"/>
          <w:sz w:val="20"/>
          <w:szCs w:val="20"/>
        </w:rPr>
        <w:t xml:space="preserve"> (Policy brief). https://www.who.int/publications/i/item/9789240057944</w:t>
      </w:r>
    </w:p>
    <w:p>
      <w:pPr>
        <w:shd w:fill="163B5E" w:val="clear"/>
        <w:spacing w:before="280" w:after="140"/>
      </w:pPr>
      <w:r>
        <w:rPr>
          <w:rFonts w:ascii="Arial" w:cs="Arial" w:eastAsia="Arial" w:hAnsi="Arial"/>
          <w:b/>
          <w:bCs/>
          <w:color w:val="FFFFFF"/>
          <w:sz w:val="24"/>
          <w:szCs w:val="24"/>
        </w:rPr>
        <w:t xml:space="preserve">  Post 2: Follow-Up — Methods</w:t>
      </w:r>
    </w:p>
    <w:p>
      <w:pPr>
        <w:spacing w:after="160" w:line="288"/>
      </w:pPr>
      <w:r>
        <w:rPr>
          <w:rFonts w:ascii="Arial" w:cs="Arial" w:eastAsia="Arial" w:hAnsi="Arial"/>
          <w:color w:val="1A1A1A"/>
          <w:sz w:val="22"/>
          <w:szCs w:val="22"/>
        </w:rPr>
        <w:t xml:space="preserve">Wanted to share a quick update on my approach. One thing I’m working through is class imbalance—if most people in the survey sought treatment, then a naive model just predicting “yes” every time looks great on accuracy but tells you nothing. Planning to use SMOTE on the training set only to avoid data leakage.</w:t>
      </w:r>
    </w:p>
    <w:p>
      <w:pPr>
        <w:spacing w:after="160" w:line="288"/>
      </w:pPr>
      <w:r>
        <w:rPr>
          <w:rFonts w:ascii="Arial" w:cs="Arial" w:eastAsia="Arial" w:hAnsi="Arial"/>
          <w:color w:val="1A1A1A"/>
          <w:sz w:val="22"/>
          <w:szCs w:val="22"/>
        </w:rPr>
        <w:t xml:space="preserve">I’m also building a composite “Employer Support Index” that combines benefits, leave policy, and EAP availability into one score. Feels like those columns are all measuring the same underlying thing.</w:t>
      </w:r>
    </w:p>
    <w:p>
      <w:pPr>
        <w:spacing w:after="160" w:line="288"/>
      </w:pPr>
      <w:r>
        <w:rPr>
          <w:rFonts w:ascii="Arial" w:cs="Arial" w:eastAsia="Arial" w:hAnsi="Arial"/>
          <w:color w:val="1A1A1A"/>
          <w:sz w:val="22"/>
          <w:szCs w:val="22"/>
        </w:rPr>
        <w:t xml:space="preserve">For interpretation I’m using SHAP values (Lundberg &amp; Lee, 2017)—if anyone hasn’t tried these yet, highly recommend. A single beeswarm plot communicates more than a page of feature importance tables. Happy to trade project reviews when we hit the draft stage!</w:t>
      </w:r>
    </w:p>
    <w:p>
      <w:pPr>
        <w:spacing w:before="100" w:after="60"/>
      </w:pPr>
      <w:r>
        <w:rPr>
          <w:rFonts w:ascii="Arial" w:cs="Arial" w:eastAsia="Arial" w:hAnsi="Arial"/>
          <w:b/>
          <w:bCs/>
          <w:color w:val="1A1A1A"/>
          <w:sz w:val="20"/>
          <w:szCs w:val="20"/>
        </w:rPr>
        <w:t xml:space="preserve">Reference</w:t>
      </w:r>
    </w:p>
    <w:p>
      <w:pPr>
        <w:spacing w:after="200" w:line="260"/>
        <w:ind w:left="480" w:hanging="480"/>
      </w:pPr>
      <w:r>
        <w:rPr>
          <w:rFonts w:ascii="Arial" w:cs="Arial" w:eastAsia="Arial" w:hAnsi="Arial"/>
          <w:color w:val="1A1A1A"/>
          <w:sz w:val="20"/>
          <w:szCs w:val="20"/>
        </w:rPr>
        <w:t xml:space="preserve">Lundberg, S. M., &amp; Lee, S.-I. (2017). A unified approach to interpreting model predictions. In </w:t>
      </w:r>
      <w:r>
        <w:rPr>
          <w:rFonts w:ascii="Arial" w:cs="Arial" w:eastAsia="Arial" w:hAnsi="Arial"/>
          <w:i/>
          <w:iCs/>
          <w:color w:val="1A1A1A"/>
          <w:sz w:val="20"/>
          <w:szCs w:val="20"/>
        </w:rPr>
        <w:t xml:space="preserve">Advances in Neural Information Processing Systems 30</w:t>
      </w:r>
      <w:r>
        <w:rPr>
          <w:rFonts w:ascii="Arial" w:cs="Arial" w:eastAsia="Arial" w:hAnsi="Arial"/>
          <w:color w:val="1A1A1A"/>
          <w:sz w:val="20"/>
          <w:szCs w:val="20"/>
        </w:rPr>
        <w:t xml:space="preserve"> (pp. 4765–4774). Curran Associates.</w:t>
      </w:r>
    </w:p>
    <w:p>
      <w:pPr>
        <w:shd w:fill="163B5E" w:val="clear"/>
        <w:spacing w:before="280" w:after="140"/>
      </w:pPr>
      <w:r>
        <w:rPr>
          <w:rFonts w:ascii="Arial" w:cs="Arial" w:eastAsia="Arial" w:hAnsi="Arial"/>
          <w:b/>
          <w:bCs/>
          <w:color w:val="FFFFFF"/>
          <w:sz w:val="24"/>
          <w:szCs w:val="24"/>
        </w:rPr>
        <w:t xml:space="preserve">  Post 3: Reply to Classmate (Template)</w:t>
      </w:r>
    </w:p>
    <w:p>
      <w:pPr>
        <w:spacing w:after="160" w:line="288"/>
      </w:pPr>
      <w:r>
        <w:rPr>
          <w:rFonts w:ascii="Arial" w:cs="Arial" w:eastAsia="Arial" w:hAnsi="Arial"/>
          <w:color w:val="1A1A1A"/>
          <w:sz w:val="22"/>
          <w:szCs w:val="22"/>
        </w:rPr>
        <w:t xml:space="preserve">[Name], that’s a cool approach! I like how you’re handling [specific thing]. Have you thought about [suggestion]? I’m dealing with something similar in my mental health project where [brief connection]. Looking forward to seeing your results!</w:t>
      </w:r>
    </w:p>
    <w:p>
      <w:pPr>
        <w:spacing w:before="120"/>
      </w:pPr>
      <w:r>
        <w:rPr>
          <w:rFonts w:ascii="Arial" w:cs="Arial" w:eastAsia="Arial" w:hAnsi="Arial"/>
          <w:b/>
          <w:bCs/>
          <w:color w:val="444444"/>
          <w:sz w:val="20"/>
          <w:szCs w:val="20"/>
        </w:rPr>
        <w:t xml:space="preserve">Tip: </w:t>
      </w:r>
      <w:r>
        <w:rPr>
          <w:rFonts w:ascii="Arial" w:cs="Arial" w:eastAsia="Arial" w:hAnsi="Arial"/>
          <w:color w:val="444444"/>
          <w:sz w:val="20"/>
          <w:szCs w:val="20"/>
        </w:rPr>
        <w:t xml:space="preserve">Post early in the week for Timeliness (30%). Space out your posts for Frequency (30%). Don’t wait until Sunday.</w:t>
      </w:r>
      <w:r>
        <w:br w:type="page"/>
      </w:r>
      <w:r>
        <w:br w:type="page"/>
      </w:r>
      <w:r>
        <w:br w:type="page"/>
      </w:r>
    </w:p>
    <w:p>
      <w:r>
        <w:rPr>
          <w:b/>
          <w:sz w:val="22"/>
        </w:rPr>
        <w:t>Post 4: Ethics — carrying good habits through the rest of the program</w:t>
      </w:r>
    </w:p>
    <w:p>
      <w:r>
        <w:t>Hi everyone —</w:t>
      </w:r>
    </w:p>
    <w:p/>
    <w:p>
      <w:r>
        <w:t>With DSC680 and the rest of the MSDS work ahead, I have been thinking about ethics less as a one-time “compliance paragraph” in a proposal and more as a set of daily habits. My Project 1 uses mental health and workplace survey data, which is a good reminder of how quickly data science can touch sensitive topics. For me, staying ethical through the end of the program means a few concrete commitments: keep reporting at the group level for anything that could affect real people, document sampling bias and limitations in plain language, and refuse storylines that sound more certain than the evidence supports. I also want to keep checking whether my visualizations and takeaways could be misread as individual diagnosis or HR screening, because that is not the intent of my project and should never be implied.</w:t>
      </w:r>
    </w:p>
    <w:p/>
    <w:p>
      <w:r>
        <w:t>Academic integrity is part of the same picture. I plan to attribute code I did not write, cite sources when I paraphrase or quote, and use collaboration the way the program intends—to learn—not to recycle someone else’s narrative or results. If I use generative tools for brainstorming or editing, I still need to verify claims, keep the analysis mine, and follow whatever the course policy says in Canvas. The APA’s recent workplace well-being reporting also reinforces that how we talk about mental health at work matters for stigma and trust (American Psychological Association, 2023), which affects how I will word recommendations in the white paper.</w:t>
      </w:r>
    </w:p>
    <w:p/>
    <w:p>
      <w:r>
        <w:t>For anyone else in capstone mode: what ethical guardrails are you building in now so you are not scrambling to retrofit them at Milestone 3?</w:t>
      </w:r>
    </w:p>
    <w:p/>
    <w:p>
      <w:r>
        <w:t>Reference</w:t>
      </w:r>
    </w:p>
    <w:p>
      <w:r>
        <w:t>American Psychological Association. (2023). 2023 Work in America Survey: Workplaces as engines of psychological health and well-being. https://www.apa.org/pubs/reports/work-in-america/2023-workplace-health-well-being</w:t>
      </w:r>
    </w:p>
    <w:p/>
    <w:p>
      <w:r>
        <w:rPr>
          <w:b/>
          <w:sz w:val="22"/>
        </w:rPr>
        <w:t>Post 5: Peer review swap — project plan, methods, and how I will present results</w:t>
      </w:r>
    </w:p>
    <w:p>
      <w:r>
        <w:t>I would really appreciate some peer feedback as I move from the Milestone 1 proposal into the draft white paper. My Project 1 is predicting mental health treatment-seeking among tech workers using the OSMI survey, with Logistic Regression, Random Forest, XGBoost, and SVM, plus SMOTE on training folds only and SHAP for interpretation. I am relying on SHAP because it gives a consistent way to explain feature contributions across model types (Lundberg &amp; Lee, 2017), but translating that into a white paper is a different challenge. If anyone is willing to skim a short outline or later a draft figure deck, I am especially unsure about two presentation choices: whether to lead the results section with one “best” model or show a small model comparison table first, and whether SHAP beeswarm plots will be enough for a non-technical reader or if I should pair every figure with a short “so what” caption.</w:t>
      </w:r>
    </w:p>
    <w:p/>
    <w:p>
      <w:r>
        <w:t>I also want a sanity check on my plan of attack after the merge of multi-year survey files—does it seem reasonable to prioritize a clean feature dictionary and clear missing-value rules before tuning, or would you spend more time up front on EDA visuals for the story? Feedback on tone matters too; I am trying to balance technical credibility with accessibility for stakeholders who are not data scientists.</w:t>
      </w:r>
    </w:p>
    <w:p/>
    <w:p>
      <w:r>
        <w:t>I am happy to return the favor with portfolio or project reviews this term. If you have favorite books, newsletters, or online communities that helped you learn how to explain models to mixed audiences, please drop them—I am always looking for good examples of clear technical writing.</w:t>
      </w:r>
    </w:p>
    <w:p/>
    <w:p>
      <w:r>
        <w:t>Thanks in advance.</w:t>
      </w:r>
    </w:p>
    <w:p/>
    <w:p>
      <w:r>
        <w:t>Reference</w:t>
      </w:r>
    </w:p>
    <w:p>
      <w:r>
        <w:t>Lundberg, S. M., &amp; Lee, S.-I. (2017). A unified approach to interpreting model predictions. In Advances in Neural Information Processing Systems 30 (pp. 4765–4774). Curran Associates.</w:t>
      </w:r>
    </w:p>
    <w:sectPr>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2026-03-23T01:49:17.620Z</dcterms:created>
  <dcterms:modified xsi:type="dcterms:W3CDTF">2026-03-23T01:49:17.620Z</dcterms:modified>
</cp:coreProperties>
</file>

<file path=docProps/custom.xml><?xml version="1.0" encoding="utf-8"?>
<Properties xmlns="http://schemas.openxmlformats.org/officeDocument/2006/custom-properties" xmlns:vt="http://schemas.openxmlformats.org/officeDocument/2006/docPropsVTypes"/>
</file>