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mmb2csub.pdf</w:t>
            </w:r>
          </w:p>
        </w:tc>
        <w:tc>
          <w:tcPr>
            <w:tcW w:w="3288" w:type="dxa"/>
          </w:tcPr>
          <w:p w14:paraId="3C50408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6DC75D51" w14:textId="77777777" w:rsidR="00E80462" w:rsidRDefault="009A18ED">
            <w:r>
              <w:rPr>
                <w:sz w:val="18"/>
              </w:rPr>
              <w:t>All versions</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optimisations the interpreter applies to every program.</w:t>
            </w:r>
          </w:p>
        </w:tc>
        <w:tc>
          <w:tcPr>
            <w:tcW w:w="3288" w:type="dxa"/>
          </w:tcPr>
          <w:p w14:paraId="6DC75D51" w14:textId="77777777" w:rsidR="00E80462" w:rsidRDefault="009A18ED">
            <w:r>
              <w:rPr>
                <w:sz w:val="18"/>
              </w:rPr>
              <w:t>All versions; its Build Availability table lists the versions that also report per-subroutine times</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