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FAB" w:rsidRDefault="003B6FC0" w:rsidP="003B6FC0">
      <w:pPr>
        <w:jc w:val="center"/>
        <w:rPr>
          <w:b/>
          <w:color w:val="0F243E" w:themeColor="text2" w:themeShade="80"/>
          <w:u w:val="single"/>
        </w:rPr>
      </w:pPr>
      <w:r w:rsidRPr="003B6FC0">
        <w:rPr>
          <w:b/>
          <w:color w:val="0F243E" w:themeColor="text2" w:themeShade="80"/>
          <w:u w:val="single"/>
        </w:rPr>
        <w:t>DIAGRAMME DE COLLABORATION :</w:t>
      </w:r>
    </w:p>
    <w:p w:rsidR="003B6FC0" w:rsidRDefault="003B6FC0" w:rsidP="003B6FC0">
      <w:pPr>
        <w:rPr>
          <w:b/>
        </w:rPr>
      </w:pPr>
      <w:r w:rsidRPr="003B6FC0">
        <w:rPr>
          <w:u w:val="single"/>
        </w:rPr>
        <w:t>Cas d’utilisation</w:t>
      </w:r>
      <w:r w:rsidRPr="003B6FC0">
        <w:rPr>
          <w:b/>
        </w:rPr>
        <w:t> :</w:t>
      </w:r>
      <w:r>
        <w:t xml:space="preserve"> </w:t>
      </w:r>
      <w:r w:rsidRPr="003B6FC0">
        <w:rPr>
          <w:b/>
        </w:rPr>
        <w:t>Gérer les produits</w:t>
      </w:r>
    </w:p>
    <w:p w:rsidR="003B6FC0" w:rsidRDefault="003B6FC0" w:rsidP="003B6FC0">
      <w:pPr>
        <w:pBdr>
          <w:bottom w:val="single" w:sz="6" w:space="1" w:color="auto"/>
        </w:pBdr>
      </w:pPr>
      <w:r>
        <w:rPr>
          <w:noProof/>
          <w:lang w:eastAsia="fr-FR"/>
        </w:rPr>
        <w:drawing>
          <wp:inline distT="0" distB="0" distL="0" distR="0">
            <wp:extent cx="5270500" cy="3234690"/>
            <wp:effectExtent l="19050" t="0" r="6350" b="0"/>
            <wp:docPr id="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C0" w:rsidRDefault="003B6FC0" w:rsidP="003B6FC0">
      <w:pPr>
        <w:rPr>
          <w:b/>
        </w:rPr>
      </w:pPr>
      <w:r w:rsidRPr="003B6FC0">
        <w:rPr>
          <w:u w:val="single"/>
        </w:rPr>
        <w:t>Cas d’utilisation :</w:t>
      </w:r>
      <w:r>
        <w:rPr>
          <w:b/>
        </w:rPr>
        <w:t xml:space="preserve"> Gérer les ventes</w:t>
      </w:r>
    </w:p>
    <w:p w:rsidR="003B6FC0" w:rsidRDefault="00DA2050" w:rsidP="003B6FC0">
      <w:r>
        <w:rPr>
          <w:noProof/>
          <w:lang w:eastAsia="fr-FR"/>
        </w:rPr>
        <w:drawing>
          <wp:inline distT="0" distB="0" distL="0" distR="0">
            <wp:extent cx="5270500" cy="3234690"/>
            <wp:effectExtent l="1905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050" w:rsidRDefault="00DA2050" w:rsidP="003B6FC0">
      <w:pPr>
        <w:pBdr>
          <w:bottom w:val="single" w:sz="6" w:space="1" w:color="auto"/>
        </w:pBdr>
      </w:pPr>
    </w:p>
    <w:p w:rsidR="00DA2050" w:rsidRDefault="00DA2050" w:rsidP="003B6FC0">
      <w:pPr>
        <w:rPr>
          <w:b/>
        </w:rPr>
      </w:pPr>
      <w:r w:rsidRPr="00DA2050">
        <w:rPr>
          <w:u w:val="single"/>
        </w:rPr>
        <w:t>Cas d’utilisation :</w:t>
      </w:r>
      <w:r>
        <w:t xml:space="preserve"> </w:t>
      </w:r>
      <w:r w:rsidRPr="00DA2050">
        <w:rPr>
          <w:b/>
        </w:rPr>
        <w:t>Gérer les employés</w:t>
      </w:r>
    </w:p>
    <w:p w:rsidR="00DA2050" w:rsidRPr="00DA2050" w:rsidRDefault="00BD155C" w:rsidP="003B6FC0">
      <w:r>
        <w:rPr>
          <w:noProof/>
          <w:lang w:eastAsia="fr-FR"/>
        </w:rPr>
        <w:lastRenderedPageBreak/>
        <w:drawing>
          <wp:inline distT="0" distB="0" distL="0" distR="0">
            <wp:extent cx="4727575" cy="234632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C0" w:rsidRPr="003B6FC0" w:rsidRDefault="003B6FC0" w:rsidP="003B6FC0"/>
    <w:sectPr w:rsidR="003B6FC0" w:rsidRPr="003B6FC0" w:rsidSect="00EA4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B6FC0"/>
    <w:rsid w:val="003B6FC0"/>
    <w:rsid w:val="00BD155C"/>
    <w:rsid w:val="00DA2050"/>
    <w:rsid w:val="00EA4FAB"/>
    <w:rsid w:val="00F34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F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B6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6F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2</cp:revision>
  <dcterms:created xsi:type="dcterms:W3CDTF">2013-01-04T01:17:00Z</dcterms:created>
  <dcterms:modified xsi:type="dcterms:W3CDTF">2013-01-04T08:11:00Z</dcterms:modified>
</cp:coreProperties>
</file>