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781050" cy="781050"/>
            <wp:effectExtent t="0" r="0" b="0" l="0"/>
            <wp:docPr id="1" name="Sello de la Universidad Privada del Valle" descr="Sello de la Universidad Privada del Valle" title="Sello de la Universidad Privada del Va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81050" cy="781050"/>
                    </a:xfrm>
                    <a:prstGeom prst="rect">
                      <a:avLst/>
                    </a:prstGeom>
                  </pic:spPr>
                </pic:pic>
              </a:graphicData>
            </a:graphic>
          </wp:inline>
        </w:drawing>
      </w:r>
    </w:p>
    <w:p>
      <w:pPr>
        <w:spacing w:after="160" w:before="0" w:line="240"/>
        <w:jc w:val="center"/>
      </w:pPr>
      <w:r>
        <w:rPr>
          <w:rFonts w:ascii="Times New Roman" w:cs="Times New Roman" w:eastAsia="Times New Roman" w:hAnsi="Times New Roman"/>
          <w:b/>
          <w:bCs/>
          <w:sz w:val="24"/>
          <w:szCs w:val="24"/>
        </w:rPr>
        <w:t xml:space="preserve">UNIVERSIDAD PRIVADA DEL VALLE BOLIVIA</w:t>
      </w:r>
    </w:p>
    <w:p>
      <w:pPr>
        <w:spacing w:after="160" w:before="0" w:line="240"/>
        <w:jc w:val="center"/>
      </w:pPr>
      <w:r>
        <w:rPr>
          <w:rFonts w:ascii="Times New Roman" w:cs="Times New Roman" w:eastAsia="Times New Roman" w:hAnsi="Times New Roman"/>
          <w:b/>
          <w:bCs/>
          <w:sz w:val="24"/>
          <w:szCs w:val="24"/>
        </w:rPr>
        <w:t xml:space="preserve">FACULTAD DE CIENCIAS EMPRESARIALES Y SOCIALES</w:t>
      </w:r>
    </w:p>
    <w:p>
      <w:pPr>
        <w:spacing w:after="200" w:before="0" w:line="240"/>
        <w:jc w:val="center"/>
      </w:pPr>
      <w:r>
        <w:rPr>
          <w:rFonts w:ascii="Times New Roman" w:cs="Times New Roman" w:eastAsia="Times New Roman" w:hAnsi="Times New Roman"/>
          <w:b/>
          <w:bCs/>
          <w:sz w:val="24"/>
          <w:szCs w:val="24"/>
        </w:rPr>
        <w:t xml:space="preserve">Ing. en Ciencias de Datos e Inteligencia de Negocios</w:t>
      </w:r>
    </w:p>
    <w:p>
      <w:pPr>
        <w:spacing w:after="120" w:before="120"/>
        <w:jc w:val="center"/>
      </w:pPr>
      <w:r>
        <w:drawing>
          <wp:inline distT="0" distB="0" distL="0" distR="0">
            <wp:extent cx="2381250" cy="1323975"/>
            <wp:effectExtent t="0" r="0" b="0" l="0"/>
            <wp:docPr id="1" name="Logotipo UNIVALLE" descr="Logotipo UNIVALLE" title="Logotipo UNIVA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1323975"/>
                    </a:xfrm>
                    <a:prstGeom prst="rect">
                      <a:avLst/>
                    </a:prstGeom>
                  </pic:spPr>
                </pic:pic>
              </a:graphicData>
            </a:graphic>
          </wp:inline>
        </w:drawing>
      </w:r>
    </w:p>
    <w:p>
      <w:pPr>
        <w:spacing w:after="200" w:before="240" w:line="240"/>
        <w:jc w:val="center"/>
      </w:pPr>
      <w:r>
        <w:rPr>
          <w:rFonts w:ascii="Times New Roman" w:cs="Times New Roman" w:eastAsia="Times New Roman" w:hAnsi="Times New Roman"/>
          <w:b/>
          <w:bCs/>
          <w:sz w:val="26"/>
          <w:szCs w:val="26"/>
        </w:rPr>
        <w:t xml:space="preserve">Validación del Problema mediante Entrevistas a Empresas Importadoras de Repuestos Automotrices de Santa Cruz</w:t>
      </w:r>
    </w:p>
    <w:p>
      <w:pPr>
        <w:spacing w:after="300" w:before="0" w:line="240"/>
        <w:jc w:val="center"/>
      </w:pPr>
      <w:r>
        <w:rPr>
          <w:rFonts w:ascii="Times New Roman" w:cs="Times New Roman" w:eastAsia="Times New Roman" w:hAnsi="Times New Roman"/>
          <w:b/>
          <w:bCs/>
          <w:sz w:val="24"/>
          <w:szCs w:val="24"/>
        </w:rPr>
        <w:t xml:space="preserve">PROGRAMA EMPRENDEDOR</w:t>
      </w:r>
    </w:p>
    <w:p>
      <w:pPr>
        <w:spacing w:after="60" w:before="0" w:line="240"/>
        <w:jc w:val="center"/>
      </w:pPr>
      <w:r>
        <w:rPr>
          <w:rFonts w:ascii="Times New Roman" w:cs="Times New Roman" w:eastAsia="Times New Roman" w:hAnsi="Times New Roman"/>
          <w:b/>
          <w:bCs/>
          <w:sz w:val="22"/>
          <w:szCs w:val="22"/>
        </w:rPr>
        <w:t xml:space="preserve">DOCENTE</w:t>
      </w:r>
    </w:p>
    <w:p>
      <w:pPr>
        <w:spacing w:after="240" w:before="0" w:line="240"/>
        <w:jc w:val="center"/>
      </w:pPr>
      <w:r>
        <w:rPr>
          <w:rFonts w:ascii="Times New Roman" w:cs="Times New Roman" w:eastAsia="Times New Roman" w:hAnsi="Times New Roman"/>
          <w:sz w:val="22"/>
          <w:szCs w:val="22"/>
        </w:rPr>
        <w:t xml:space="preserve">Jhennifer Rocío Sivila Segovia</w:t>
      </w:r>
    </w:p>
    <w:p>
      <w:pPr>
        <w:spacing w:after="60" w:before="0" w:line="240"/>
        <w:jc w:val="center"/>
      </w:pPr>
      <w:r>
        <w:rPr>
          <w:rFonts w:ascii="Times New Roman" w:cs="Times New Roman" w:eastAsia="Times New Roman" w:hAnsi="Times New Roman"/>
          <w:b/>
          <w:bCs/>
          <w:sz w:val="22"/>
          <w:szCs w:val="22"/>
        </w:rPr>
        <w:t xml:space="preserve">ESTUDIANTES</w:t>
      </w:r>
    </w:p>
    <w:p>
      <w:pPr>
        <w:spacing w:after="40" w:before="0" w:line="240"/>
        <w:jc w:val="center"/>
      </w:pPr>
      <w:r>
        <w:rPr>
          <w:rFonts w:ascii="Times New Roman" w:cs="Times New Roman" w:eastAsia="Times New Roman" w:hAnsi="Times New Roman"/>
          <w:sz w:val="22"/>
          <w:szCs w:val="22"/>
        </w:rPr>
        <w:t xml:space="preserve">Sandoval Castro Fiorella Michelle</w:t>
      </w:r>
    </w:p>
    <w:p>
      <w:pPr>
        <w:spacing w:after="40" w:before="0" w:line="240"/>
        <w:jc w:val="center"/>
      </w:pPr>
      <w:r>
        <w:rPr>
          <w:rFonts w:ascii="Times New Roman" w:cs="Times New Roman" w:eastAsia="Times New Roman" w:hAnsi="Times New Roman"/>
          <w:sz w:val="22"/>
          <w:szCs w:val="22"/>
        </w:rPr>
        <w:t xml:space="preserve">Adrián Zelaya Sabrina</w:t>
      </w:r>
    </w:p>
    <w:p>
      <w:pPr>
        <w:spacing w:after="40" w:before="0" w:line="240"/>
        <w:jc w:val="center"/>
      </w:pPr>
      <w:r>
        <w:rPr>
          <w:rFonts w:ascii="Times New Roman" w:cs="Times New Roman" w:eastAsia="Times New Roman" w:hAnsi="Times New Roman"/>
          <w:sz w:val="22"/>
          <w:szCs w:val="22"/>
        </w:rPr>
        <w:t xml:space="preserve">Méndez Cadario Carlos Andrés</w:t>
      </w:r>
    </w:p>
    <w:p>
      <w:pPr>
        <w:spacing w:after="420" w:before="0" w:line="240"/>
        <w:jc w:val="center"/>
      </w:pPr>
      <w:r>
        <w:rPr>
          <w:rFonts w:ascii="Times New Roman" w:cs="Times New Roman" w:eastAsia="Times New Roman" w:hAnsi="Times New Roman"/>
          <w:sz w:val="22"/>
          <w:szCs w:val="22"/>
        </w:rPr>
        <w:t xml:space="preserve">Castillo Cornejo Samuel Roberto</w:t>
      </w:r>
    </w:p>
    <w:p>
      <w:pPr>
        <w:spacing w:after="0" w:before="0" w:line="240"/>
        <w:jc w:val="center"/>
      </w:pPr>
      <w:r>
        <w:rPr>
          <w:rFonts w:ascii="Times New Roman" w:cs="Times New Roman" w:eastAsia="Times New Roman" w:hAnsi="Times New Roman"/>
          <w:b/>
          <w:bCs/>
          <w:sz w:val="22"/>
          <w:szCs w:val="22"/>
        </w:rPr>
        <w:t xml:space="preserve">Septiembre | Santa Cruz de la Sierra - 2026</w:t>
      </w:r>
    </w:p>
    <w:p>
      <w:r>
        <w:br w:type="page"/>
      </w:r>
    </w:p>
    <w:p>
      <w:pPr>
        <w:spacing w:after="160" w:before="280" w:line="360"/>
        <w:jc w:val="left"/>
      </w:pPr>
      <w:r>
        <w:rPr>
          <w:rFonts w:ascii="Times New Roman" w:cs="Times New Roman" w:eastAsia="Times New Roman" w:hAnsi="Times New Roman"/>
          <w:b/>
          <w:bCs/>
          <w:sz w:val="26"/>
          <w:szCs w:val="26"/>
        </w:rPr>
        <w:t xml:space="preserve">1. INTRODUCCIÓN</w:t>
      </w:r>
    </w:p>
    <w:p>
      <w:pPr>
        <w:spacing w:after="120" w:before="200" w:line="360"/>
        <w:ind w:left="340"/>
        <w:jc w:val="left"/>
      </w:pPr>
      <w:r>
        <w:rPr>
          <w:rFonts w:ascii="Times New Roman" w:cs="Times New Roman" w:eastAsia="Times New Roman" w:hAnsi="Times New Roman"/>
          <w:b/>
          <w:bCs/>
          <w:sz w:val="24"/>
          <w:szCs w:val="24"/>
        </w:rPr>
        <w:t xml:space="preserve">1.1. Objetivo del trabajo</w:t>
      </w:r>
    </w:p>
    <w:p>
      <w:pPr>
        <w:spacing w:after="60" w:line="360"/>
        <w:ind w:firstLine="708"/>
        <w:jc w:val="both"/>
      </w:pPr>
      <w:r>
        <w:rPr>
          <w:rFonts w:ascii="Times New Roman" w:cs="Times New Roman" w:eastAsia="Times New Roman" w:hAnsi="Times New Roman"/>
          <w:sz w:val="24"/>
          <w:szCs w:val="24"/>
        </w:rPr>
        <w:t xml:space="preserve">Este informe reúne los resultados de la ronda de entrevistas que el equipo realizó para comprobar si el problema elegido existe en la práctica de las empresas importadoras de repuestos automotrices de Santa Cruz de la Sierra, de qué manera lo enfrentan quienes deciden las compras y qué costo les representa. El trabajo corresponde a la etapa de validación del problema y precede a cualquier definición de producto.</w:t>
      </w:r>
    </w:p>
    <w:p>
      <w:pPr>
        <w:spacing w:after="120" w:before="200" w:line="360"/>
        <w:ind w:left="340"/>
        <w:jc w:val="left"/>
      </w:pPr>
      <w:r>
        <w:rPr>
          <w:rFonts w:ascii="Times New Roman" w:cs="Times New Roman" w:eastAsia="Times New Roman" w:hAnsi="Times New Roman"/>
          <w:b/>
          <w:bCs/>
          <w:sz w:val="24"/>
          <w:szCs w:val="24"/>
        </w:rPr>
        <w:t xml:space="preserve">1.2. El problema bajo estudio</w:t>
      </w:r>
    </w:p>
    <w:p>
      <w:pPr>
        <w:spacing w:after="60" w:line="360"/>
        <w:ind w:firstLine="708"/>
        <w:jc w:val="both"/>
      </w:pPr>
      <w:r>
        <w:rPr>
          <w:rFonts w:ascii="Times New Roman" w:cs="Times New Roman" w:eastAsia="Times New Roman" w:hAnsi="Times New Roman"/>
          <w:sz w:val="24"/>
          <w:szCs w:val="24"/>
        </w:rPr>
        <w:t xml:space="preserve">La decisión que interesa es la de abastecimiento: en qué momento conviene emitir un pedido al exterior y por qué volumen hacerlo. Su dificultad proviene de que el costo final en bolivianos queda determinado el día del pago y no el día en que se acepta la cotización del proveedor. El presupuesto con el que se aprueba una compra puede perder vigencia antes de que la compra se ejecute, y quien la autorizó carga después con la diferencia.</w:t>
      </w:r>
    </w:p>
    <w:p>
      <w:pPr>
        <w:spacing w:after="120" w:before="200" w:line="360"/>
        <w:ind w:left="340"/>
        <w:jc w:val="left"/>
      </w:pPr>
      <w:r>
        <w:rPr>
          <w:rFonts w:ascii="Times New Roman" w:cs="Times New Roman" w:eastAsia="Times New Roman" w:hAnsi="Times New Roman"/>
          <w:b/>
          <w:bCs/>
          <w:sz w:val="24"/>
          <w:szCs w:val="24"/>
        </w:rPr>
        <w:t xml:space="preserve">1.3. Alcance de esta etapa</w:t>
      </w:r>
    </w:p>
    <w:p>
      <w:pPr>
        <w:spacing w:after="60" w:line="360"/>
        <w:ind w:firstLine="708"/>
        <w:jc w:val="both"/>
      </w:pPr>
      <w:r>
        <w:rPr>
          <w:rFonts w:ascii="Times New Roman" w:cs="Times New Roman" w:eastAsia="Times New Roman" w:hAnsi="Times New Roman"/>
          <w:sz w:val="24"/>
          <w:szCs w:val="24"/>
        </w:rPr>
        <w:t xml:space="preserve">En esta etapa no se validan soluciones. Por ese motivo, durante las conversaciones se evitó mencionar cualquier herramienta, tablero o aplicación. Cuando el entrevistado advierte que detrás de la pregunta hay una propuesta, tiende a responder con amabilidad, y con amabilidad no se decide nada. Las preguntas se mantuvieron sobre hechos ocurridos: la última compra, lo que se revisó antes de aprobarla, lo que pasó después.</w:t>
      </w:r>
    </w:p>
    <w:p>
      <w:pPr>
        <w:spacing w:after="60" w:line="360"/>
        <w:ind w:firstLine="708"/>
        <w:jc w:val="both"/>
      </w:pPr>
      <w:r>
        <w:rPr>
          <w:rFonts w:ascii="Times New Roman" w:cs="Times New Roman" w:eastAsia="Times New Roman" w:hAnsi="Times New Roman"/>
          <w:sz w:val="24"/>
          <w:szCs w:val="24"/>
        </w:rPr>
        <w:t xml:space="preserve">La ronda cubrió seis conversaciones con personas que ocupan el mismo lugar en el proceso, sean propietarios, administradores financieros o encargados de compras. Se siguió la guía entregada por la cátedra y su secuencia de ocho etapas.</w:t>
      </w:r>
    </w:p>
    <w:p>
      <w:pPr>
        <w:spacing w:after="160" w:before="280" w:line="360"/>
        <w:jc w:val="left"/>
      </w:pPr>
      <w:r>
        <w:rPr>
          <w:rFonts w:ascii="Times New Roman" w:cs="Times New Roman" w:eastAsia="Times New Roman" w:hAnsi="Times New Roman"/>
          <w:b/>
          <w:bCs/>
          <w:sz w:val="26"/>
          <w:szCs w:val="26"/>
        </w:rPr>
        <w:t xml:space="preserve">2. RESULTADOS DE LA RONDA</w:t>
      </w:r>
    </w:p>
    <w:p>
      <w:pPr>
        <w:spacing w:after="120" w:before="200" w:line="360"/>
        <w:ind w:left="340"/>
        <w:jc w:val="left"/>
      </w:pPr>
      <w:r>
        <w:rPr>
          <w:rFonts w:ascii="Times New Roman" w:cs="Times New Roman" w:eastAsia="Times New Roman" w:hAnsi="Times New Roman"/>
          <w:b/>
          <w:bCs/>
          <w:sz w:val="24"/>
          <w:szCs w:val="24"/>
        </w:rPr>
        <w:t xml:space="preserve">2.1. Existencia del problema</w:t>
      </w:r>
    </w:p>
    <w:p>
      <w:pPr>
        <w:spacing w:after="60" w:line="360"/>
        <w:ind w:firstLine="708"/>
        <w:jc w:val="both"/>
      </w:pPr>
      <w:r>
        <w:rPr>
          <w:rFonts w:ascii="Times New Roman" w:cs="Times New Roman" w:eastAsia="Times New Roman" w:hAnsi="Times New Roman"/>
          <w:sz w:val="24"/>
          <w:szCs w:val="24"/>
        </w:rPr>
        <w:t xml:space="preserve">El problema aparece en las seis conversaciones. En todas tomó la forma de un episodio concreto, con su mes y su monto, y a ningún entrevistado hubo que preguntarle si la decisión le resultaba difícil: la dificultad salió sola cuando se les pidió describir su última compra al exterior. Los relatos coinciden además en dónde se concentra la tensión. Es el intervalo que va de la aceptación de la cotización al desembolso.</w:t>
      </w:r>
    </w:p>
    <w:p>
      <w:pPr>
        <w:spacing w:after="120" w:before="200" w:line="360"/>
        <w:ind w:left="340"/>
        <w:jc w:val="left"/>
      </w:pPr>
      <w:r>
        <w:rPr>
          <w:rFonts w:ascii="Times New Roman" w:cs="Times New Roman" w:eastAsia="Times New Roman" w:hAnsi="Times New Roman"/>
          <w:b/>
          <w:bCs/>
          <w:sz w:val="24"/>
          <w:szCs w:val="24"/>
        </w:rPr>
        <w:t xml:space="preserve">2.2. Causa predominante</w:t>
      </w:r>
    </w:p>
    <w:p>
      <w:pPr>
        <w:spacing w:after="60" w:line="360"/>
        <w:ind w:firstLine="708"/>
        <w:jc w:val="both"/>
      </w:pPr>
      <w:r>
        <w:rPr>
          <w:rFonts w:ascii="Times New Roman" w:cs="Times New Roman" w:eastAsia="Times New Roman" w:hAnsi="Times New Roman"/>
          <w:sz w:val="24"/>
          <w:szCs w:val="24"/>
        </w:rPr>
        <w:t xml:space="preserve">La causa que el equipo había supuesto no resistió el contraste. El precio del repuesto resultó ser el dato que los entrevistados manejan con mayor soltura, porque lo cotizan todas las semanas y conocen sus rangos. La incertidumbre se concentra en otra parte: en cuánto costará el pedido en bolivianos el día en que haya que pagarlo. Alrededor de esa variable pesan además la rotación de cada pieza, el capital que queda comprometido y el plazo de entrega. Son cuatro cosas moviéndose a la vez, y ninguna se conoce con certeza el día en que hay que firmar.</w:t>
      </w:r>
    </w:p>
    <w:p>
      <w:pPr>
        <w:spacing w:after="120" w:before="200" w:line="360"/>
        <w:ind w:left="340"/>
        <w:jc w:val="left"/>
      </w:pPr>
      <w:r>
        <w:rPr>
          <w:rFonts w:ascii="Times New Roman" w:cs="Times New Roman" w:eastAsia="Times New Roman" w:hAnsi="Times New Roman"/>
          <w:b/>
          <w:bCs/>
          <w:sz w:val="24"/>
          <w:szCs w:val="24"/>
        </w:rPr>
        <w:t xml:space="preserve">2.3. Magnitud del costo</w:t>
      </w:r>
    </w:p>
    <w:p>
      <w:pPr>
        <w:spacing w:after="60" w:line="360"/>
        <w:ind w:firstLine="708"/>
        <w:jc w:val="both"/>
      </w:pPr>
      <w:r>
        <w:rPr>
          <w:rFonts w:ascii="Times New Roman" w:cs="Times New Roman" w:eastAsia="Times New Roman" w:hAnsi="Times New Roman"/>
          <w:sz w:val="24"/>
          <w:szCs w:val="24"/>
        </w:rPr>
        <w:t xml:space="preserve">Las cifras que los entrevistados mencionaron al describir lo que les costaron sus decisiones incluyen Bs 12.040 de sobrecosto cambiario en un solo pedido, Bs 55.000 y Bs 30.000 inmovilizados en piezas de baja rotación, Bs 6.500 en transporte y comisiones por dividir un envío en dos, y seis ventas que no pudieron atenderse a lo largo de dos semanas. Todas salieron del relato de cada entrevistado y se consignan tal como las dieron.</w:t>
      </w:r>
    </w:p>
    <w:p>
      <w:pPr>
        <w:spacing w:after="120" w:before="200" w:line="360"/>
        <w:ind w:left="340"/>
        <w:jc w:val="left"/>
      </w:pPr>
      <w:r>
        <w:rPr>
          <w:rFonts w:ascii="Times New Roman" w:cs="Times New Roman" w:eastAsia="Times New Roman" w:hAnsi="Times New Roman"/>
          <w:b/>
          <w:bCs/>
          <w:sz w:val="24"/>
          <w:szCs w:val="24"/>
        </w:rPr>
        <w:t xml:space="preserve">2.4. Diferencias entre empresas</w:t>
      </w:r>
    </w:p>
    <w:p>
      <w:pPr>
        <w:spacing w:after="60" w:line="360"/>
        <w:ind w:firstLine="708"/>
        <w:jc w:val="both"/>
      </w:pPr>
      <w:r>
        <w:rPr>
          <w:rFonts w:ascii="Times New Roman" w:cs="Times New Roman" w:eastAsia="Times New Roman" w:hAnsi="Times New Roman"/>
          <w:sz w:val="24"/>
          <w:szCs w:val="24"/>
        </w:rPr>
        <w:t xml:space="preserve">La comparación entre las seis entrevistas dejó ver algo que ninguna por separado habría mostrado. En las empresas que llevan registros históricos, mantienen el inventario actualizado y clasifican sus productos por rotación, la dificultad se desplaza hacia la fijación del precio de venta: cómo recuperar el costo de reposición sin perder al cliente. El problema cambia de forma según el orden interno de cada empresa, y eso obliga a precisar a qué tipo de empresa se dirige el trabajo.</w:t>
      </w:r>
    </w:p>
    <w:p>
      <w:r>
        <w:br w:type="page"/>
      </w:r>
    </w:p>
    <w:p>
      <w:pPr>
        <w:spacing w:after="160" w:before="280" w:line="360"/>
        <w:jc w:val="left"/>
      </w:pPr>
      <w:r>
        <w:rPr>
          <w:rFonts w:ascii="Times New Roman" w:cs="Times New Roman" w:eastAsia="Times New Roman" w:hAnsi="Times New Roman"/>
          <w:b/>
          <w:bCs/>
          <w:sz w:val="26"/>
          <w:szCs w:val="26"/>
        </w:rPr>
        <w:t xml:space="preserve">3. LA ENTREVISTA QUE MÁS ENSEÑÓ</w:t>
      </w:r>
    </w:p>
    <w:p>
      <w:pPr>
        <w:spacing w:after="60" w:line="360"/>
        <w:ind w:firstLine="708"/>
        <w:jc w:val="both"/>
      </w:pPr>
      <w:r>
        <w:rPr>
          <w:rFonts w:ascii="Times New Roman" w:cs="Times New Roman" w:eastAsia="Times New Roman" w:hAnsi="Times New Roman"/>
          <w:sz w:val="24"/>
          <w:szCs w:val="24"/>
        </w:rPr>
        <w:t xml:space="preserve">De las seis conversaciones, la sostenida con Carlos Andrés Méndez, encargado de compras e importaciones de una importadora mediana de repuestos de Santa Cruz, fue la que más modificó el planteamiento del equipo. El criterio de selección que pide la consigna es precisamente ese: se elige la que obligó a revisar lo que se creía. La que confirma lo que uno ya pensaba enseña poco.</w:t>
      </w:r>
    </w:p>
    <w:p>
      <w:pPr>
        <w:spacing w:after="120" w:before="200" w:line="360"/>
        <w:ind w:left="340"/>
        <w:jc w:val="left"/>
      </w:pPr>
      <w:r>
        <w:rPr>
          <w:rFonts w:ascii="Times New Roman" w:cs="Times New Roman" w:eastAsia="Times New Roman" w:hAnsi="Times New Roman"/>
          <w:b/>
          <w:bCs/>
          <w:sz w:val="24"/>
          <w:szCs w:val="24"/>
        </w:rPr>
        <w:t xml:space="preserve">3.1. Situación relatada</w:t>
      </w:r>
    </w:p>
    <w:p>
      <w:pPr>
        <w:spacing w:after="60" w:line="360"/>
        <w:ind w:firstLine="708"/>
        <w:jc w:val="both"/>
      </w:pPr>
      <w:r>
        <w:rPr>
          <w:rFonts w:ascii="Times New Roman" w:cs="Times New Roman" w:eastAsia="Times New Roman" w:hAnsi="Times New Roman"/>
          <w:sz w:val="24"/>
          <w:szCs w:val="24"/>
        </w:rPr>
        <w:t xml:space="preserve">A fines de agosto de 2026 la empresa necesitaba filtros, pastillas de freno, rodamientos, sensores y piezas de suspensión, por alrededor de veintiocho mil dólares. El proveedor otorgó una cotización válida por siete días. El equipo esperó cuatro de esos días para ver si mejoraba el costo de conseguir los dólares; el tipo de cambio siguió subiendo y finalmente cerraron la compra porque varios productos estaban por agotarse. El cálculo inicial suponía un dólar alrededor de Bs 10,95 y el pago se concretó cerca de Bs 11,38.</w:t>
      </w:r>
    </w:p>
    <w:p>
      <w:pPr>
        <w:spacing w:after="120" w:before="200" w:line="360"/>
        <w:ind w:left="340"/>
        <w:jc w:val="left"/>
      </w:pPr>
      <w:r>
        <w:rPr>
          <w:rFonts w:ascii="Times New Roman" w:cs="Times New Roman" w:eastAsia="Times New Roman" w:hAnsi="Times New Roman"/>
          <w:b/>
          <w:bCs/>
          <w:sz w:val="24"/>
          <w:szCs w:val="24"/>
        </w:rPr>
        <w:t xml:space="preserve">3.2. Ficha de sistematización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100"/>
        <w:gridCol w:w="6738"/>
      </w:tblGrid>
      <w:tr>
        <w:tc>
          <w:tcPr>
            <w:tcW w:type="dxa" w:w="2100"/>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Qué intentaba conseguir</w:t>
            </w:r>
          </w:p>
        </w:tc>
        <w:tc>
          <w:tcPr>
            <w:tcW w:type="dxa" w:w="67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Abastecerse de los repuestos de mayor salida sin comprometer demasiado capital y sin comprar con un tipo de cambio desfavorable.</w:t>
            </w:r>
          </w:p>
        </w:tc>
      </w:tr>
      <w:tr>
        <w:tc>
          <w:tcPr>
            <w:tcW w:type="dxa" w:w="2100"/>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Cuál fue su dificultad</w:t>
            </w:r>
          </w:p>
        </w:tc>
        <w:tc>
          <w:tcPr>
            <w:tcW w:type="dxa" w:w="67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No podía conocer el costo final del pedido. La cotización venía en dólares y los ingresos de la empresa son en bolivianos, de manera que el presupuesto se desactualizaba mientras lo analizaba. En el mismo lapso cambiaron las condiciones de pago y el costo estimado del transporte, y el proveedor acortó la vigencia de la cotización.</w:t>
            </w:r>
          </w:p>
        </w:tc>
      </w:tr>
      <w:tr>
        <w:tc>
          <w:tcPr>
            <w:tcW w:type="dxa" w:w="2100"/>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Cómo se sintió</w:t>
            </w:r>
          </w:p>
        </w:tc>
        <w:tc>
          <w:tcPr>
            <w:tcW w:type="dxa" w:w="67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Bajo presión, porque cualquiera de las dos salidas podía reprochársele después. Comprar de más inmoviliza el dinero y comprar de menos hace perder ventas; ambas cosas se le señalan a quien firma la orden.</w:t>
            </w:r>
          </w:p>
        </w:tc>
      </w:tr>
      <w:tr>
        <w:tc>
          <w:tcPr>
            <w:tcW w:type="dxa" w:w="2100"/>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Qué hizo para resolverlo</w:t>
            </w:r>
          </w:p>
        </w:tc>
        <w:tc>
          <w:tcPr>
            <w:tcW w:type="dxa" w:w="67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Revisó el inventario en Excel, las ventas de los últimos tres meses y cotizaciones anteriores guardadas en correos y en WhatsApp, y consultó el tipo de cambio a diario. Después lo conversó con el propietario, el administrador financiero y el jefe de ventas, y resolvió combinando esos datos con su experiencia, porque la empresa no tiene una fórmula para este cálculo.</w:t>
            </w:r>
          </w:p>
        </w:tc>
      </w:tr>
      <w:tr>
        <w:tc>
          <w:tcPr>
            <w:tcW w:type="dxa" w:w="2100"/>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Qué impacto tuvo</w:t>
            </w:r>
          </w:p>
        </w:tc>
        <w:tc>
          <w:tcPr>
            <w:tcW w:type="dxa" w:w="67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Bs 12.040 adicionales en esa compra por la variación del tipo de cambio entre el cálculo y el pago; entre seis y diez horas de trabajo para reunir y comparar la información de un solo pedido; alrededor de Bs 55.000 inmovilizados en repuestos de baja rotación adquiridos en compras anteriores; y al menos seis ventas no atendidas en dos semanas de agosto por faltantes de filtros, rodamientos y pastillas. A ello se sumaron reclamos de clientes habituales.</w:t>
            </w:r>
          </w:p>
        </w:tc>
      </w:tr>
      <w:tr>
        <w:tc>
          <w:tcPr>
            <w:tcW w:type="dxa" w:w="2100"/>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Frases textuales</w:t>
            </w:r>
          </w:p>
        </w:tc>
        <w:tc>
          <w:tcPr>
            <w:tcW w:type="dxa" w:w="67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60" w:line="240"/>
              <w:jc w:val="both"/>
            </w:pPr>
            <w:r>
              <w:rPr>
                <w:rFonts w:ascii="Times New Roman" w:cs="Times New Roman" w:eastAsia="Times New Roman" w:hAnsi="Times New Roman"/>
                <w:i/>
                <w:iCs/>
                <w:sz w:val="21"/>
                <w:szCs w:val="21"/>
              </w:rPr>
              <w:t xml:space="preserve">«Si compro mucho, dicen que inmovilicé el dinero; si compro poco, dicen que perdimos ventas.»</w:t>
            </w:r>
          </w:p>
          <w:p>
            <w:pPr>
              <w:spacing w:after="60" w:line="240"/>
              <w:jc w:val="both"/>
            </w:pPr>
            <w:r>
              <w:rPr>
                <w:rFonts w:ascii="Times New Roman" w:cs="Times New Roman" w:eastAsia="Times New Roman" w:hAnsi="Times New Roman"/>
                <w:i/>
                <w:iCs/>
                <w:sz w:val="21"/>
                <w:szCs w:val="21"/>
              </w:rPr>
              <w:t xml:space="preserve">«Puedo calcular el pedido hoy, pero si el dólar cambia antes del pago, todo el presupuesto queda desactualizado.»</w:t>
            </w:r>
          </w:p>
          <w:p>
            <w:pPr>
              <w:spacing w:after="0" w:line="240"/>
              <w:jc w:val="both"/>
            </w:pPr>
            <w:r>
              <w:rPr>
                <w:rFonts w:ascii="Times New Roman" w:cs="Times New Roman" w:eastAsia="Times New Roman" w:hAnsi="Times New Roman"/>
                <w:i/>
                <w:iCs/>
                <w:sz w:val="21"/>
                <w:szCs w:val="21"/>
              </w:rPr>
              <w:t xml:space="preserve">«No solamente importa el dólar, también importa cuánto tarda la mercadería en llegar.»</w:t>
            </w:r>
          </w:p>
        </w:tc>
      </w:tr>
    </w:tbl>
    <w:p>
      <w:pPr>
        <w:spacing w:after="120" w:before="200" w:line="360"/>
        <w:ind w:left="340"/>
        <w:jc w:val="left"/>
      </w:pPr>
      <w:r>
        <w:rPr>
          <w:rFonts w:ascii="Times New Roman" w:cs="Times New Roman" w:eastAsia="Times New Roman" w:hAnsi="Times New Roman"/>
          <w:b/>
          <w:bCs/>
          <w:sz w:val="24"/>
          <w:szCs w:val="24"/>
        </w:rPr>
        <w:t xml:space="preserve">3.3. Lo que confirmó y lo que puso en duda</w:t>
      </w:r>
    </w:p>
    <w:p>
      <w:pPr>
        <w:spacing w:after="60" w:line="360"/>
        <w:ind w:firstLine="708"/>
        <w:jc w:val="both"/>
      </w:pPr>
      <w:r>
        <w:rPr>
          <w:rFonts w:ascii="Times New Roman" w:cs="Times New Roman" w:eastAsia="Times New Roman" w:hAnsi="Times New Roman"/>
          <w:sz w:val="24"/>
          <w:szCs w:val="24"/>
        </w:rPr>
        <w:t xml:space="preserve">Confirmó que la información está repartida entre Excel, el correo, WhatsApp y el sistema contable, y que reunirla consume una parte apreciable del tiempo de quien decide. Puso en duda, en cambio, la causa que el equipo había escrito. El precio de la pieza es lo que el entrevistado conoce mejor; lo que se le escapa es el costo en bolivianos del día de pago, y junto a él la rotación, el capital disponible y el plazo de entrega.</w:t>
      </w:r>
    </w:p>
    <w:p>
      <w:pPr>
        <w:spacing w:after="60" w:line="360"/>
        <w:ind w:firstLine="708"/>
        <w:jc w:val="both"/>
      </w:pPr>
      <w:r>
        <w:rPr>
          <w:rFonts w:ascii="Times New Roman" w:cs="Times New Roman" w:eastAsia="Times New Roman" w:hAnsi="Times New Roman"/>
          <w:sz w:val="24"/>
          <w:szCs w:val="24"/>
        </w:rPr>
        <w:t xml:space="preserve">Lo que esta conversación dejó en claro es que quien firma una orden de compra está administrando varios riesgos a la vez: pagar un tipo de cambio desfavorable, quedarse con productos que no rotan y agotar los que sí se venden. Conocer el comportamiento del dólar resuelve apenas una parte.</w:t>
      </w:r>
    </w:p>
    <w:p>
      <w:r>
        <w:br w:type="page"/>
      </w:r>
    </w:p>
    <w:p>
      <w:pPr>
        <w:spacing w:after="160" w:before="280" w:line="360"/>
        <w:jc w:val="left"/>
      </w:pPr>
      <w:r>
        <w:rPr>
          <w:rFonts w:ascii="Times New Roman" w:cs="Times New Roman" w:eastAsia="Times New Roman" w:hAnsi="Times New Roman"/>
          <w:b/>
          <w:bCs/>
          <w:sz w:val="26"/>
          <w:szCs w:val="26"/>
        </w:rPr>
        <w:t xml:space="preserve">4. CONTRASTE CON EL MAPA DE PROPUESTA DE VALOR</w:t>
      </w:r>
    </w:p>
    <w:p>
      <w:pPr>
        <w:spacing w:after="120" w:before="200" w:line="360"/>
        <w:ind w:left="340"/>
        <w:jc w:val="left"/>
      </w:pPr>
      <w:r>
        <w:rPr>
          <w:rFonts w:ascii="Times New Roman" w:cs="Times New Roman" w:eastAsia="Times New Roman" w:hAnsi="Times New Roman"/>
          <w:b/>
          <w:bCs/>
          <w:sz w:val="24"/>
          <w:szCs w:val="24"/>
        </w:rPr>
        <w:t xml:space="preserve">4.1. Criterios de marcado</w:t>
      </w:r>
    </w:p>
    <w:p>
      <w:pPr>
        <w:spacing w:after="100" w:line="360"/>
        <w:ind w:firstLine="708"/>
        <w:jc w:val="both"/>
      </w:pPr>
      <w:r>
        <w:rPr>
          <w:rFonts w:ascii="Times New Roman" w:cs="Times New Roman" w:eastAsia="Times New Roman" w:hAnsi="Times New Roman"/>
          <w:sz w:val="24"/>
          <w:szCs w:val="24"/>
        </w:rPr>
        <w:t xml:space="preserve">Cada supuesto que el equipo había escrito sobre el cliente se contrastó con lo que devolvieron las entrevistas. La marca de la segunda columna es la que se traslada al lienzo del tablero.</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900"/>
        <w:gridCol w:w="7938"/>
      </w:tblGrid>
      <w:tr>
        <w:tc>
          <w:tcPr>
            <w:tcW w:type="dxa" w:w="900"/>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79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Validado: las entrevistas aportan evidencia que lo sostiene.</w:t>
            </w:r>
          </w:p>
        </w:tc>
      </w:tr>
      <w:tr>
        <w:tc>
          <w:tcPr>
            <w:tcW w:type="dxa" w:w="900"/>
            <w:tcBorders>
              <w:top w:val="single" w:color="808080" w:sz="4"/>
              <w:left w:val="single" w:color="808080" w:sz="4"/>
              <w:bottom w:val="single" w:color="808080" w:sz="4"/>
              <w:right w:val="single" w:color="808080" w:sz="4"/>
            </w:tcBorders>
            <w:shd w:fill="FCE4E4"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79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Refutado: lo que se encontró difiere de lo que se había supuesto.</w:t>
            </w:r>
          </w:p>
        </w:tc>
      </w:tr>
      <w:tr>
        <w:tc>
          <w:tcPr>
            <w:tcW w:type="dxa" w:w="900"/>
            <w:tcBorders>
              <w:top w:val="single" w:color="808080" w:sz="4"/>
              <w:left w:val="single" w:color="808080" w:sz="4"/>
              <w:bottom w:val="single" w:color="808080" w:sz="4"/>
              <w:right w:val="single" w:color="808080" w:sz="4"/>
            </w:tcBorders>
            <w:shd w:fill="FFF2CC"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79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Sin validar todavía: hace falta más evidencia para resolverlo.</w:t>
            </w:r>
          </w:p>
        </w:tc>
      </w:tr>
    </w:tbl>
    <w:p>
      <w:pPr>
        <w:spacing w:after="120" w:before="200" w:line="360"/>
        <w:ind w:left="340"/>
        <w:jc w:val="left"/>
      </w:pPr>
      <w:r>
        <w:rPr>
          <w:rFonts w:ascii="Times New Roman" w:cs="Times New Roman" w:eastAsia="Times New Roman" w:hAnsi="Times New Roman"/>
          <w:b/>
          <w:bCs/>
          <w:sz w:val="24"/>
          <w:szCs w:val="24"/>
        </w:rPr>
        <w:t xml:space="preserve">4.2. Resultado por supuesto</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900"/>
        <w:gridCol w:w="800"/>
        <w:gridCol w:w="5138"/>
      </w:tblGrid>
      <w:tr>
        <w:trPr>
          <w:tblHeader/>
        </w:trPr>
        <w:tc>
          <w:tcPr>
            <w:tcW w:type="dxa" w:w="2900"/>
            <w:tcBorders>
              <w:top w:val="single" w:color="808080" w:sz="4"/>
              <w:left w:val="single" w:color="808080" w:sz="4"/>
              <w:bottom w:val="single" w:color="808080" w:sz="4"/>
              <w:right w:val="single" w:color="808080" w:sz="4"/>
            </w:tcBorders>
            <w:shd w:fill="EDE3E7" w:val="clear"/>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color w:val="7B1E3A"/>
                <w:sz w:val="20"/>
                <w:szCs w:val="20"/>
              </w:rPr>
              <w:t xml:space="preserve">Supuesto escrito por el equipo</w:t>
            </w:r>
          </w:p>
        </w:tc>
        <w:tc>
          <w:tcPr>
            <w:tcW w:type="dxa" w:w="800"/>
            <w:tcBorders>
              <w:top w:val="single" w:color="808080" w:sz="4"/>
              <w:left w:val="single" w:color="808080" w:sz="4"/>
              <w:bottom w:val="single" w:color="808080" w:sz="4"/>
              <w:right w:val="single" w:color="808080" w:sz="4"/>
            </w:tcBorders>
            <w:shd w:fill="EDE3E7" w:val="clear"/>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color w:val="7B1E3A"/>
                <w:sz w:val="20"/>
                <w:szCs w:val="20"/>
              </w:rPr>
              <w:t xml:space="preserve">Marca</w:t>
            </w:r>
          </w:p>
        </w:tc>
        <w:tc>
          <w:tcPr>
            <w:tcW w:type="dxa" w:w="5138"/>
            <w:tcBorders>
              <w:top w:val="single" w:color="808080" w:sz="4"/>
              <w:left w:val="single" w:color="808080" w:sz="4"/>
              <w:bottom w:val="single" w:color="808080" w:sz="4"/>
              <w:right w:val="single" w:color="808080" w:sz="4"/>
            </w:tcBorders>
            <w:shd w:fill="EDE3E7" w:val="clear"/>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color w:val="7B1E3A"/>
                <w:sz w:val="20"/>
                <w:szCs w:val="20"/>
              </w:rPr>
              <w:t xml:space="preserve">Evidencia en que se apoya</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Existe incertidumbre real al decidir cuándo comprar</w:t>
            </w:r>
          </w:p>
        </w:tc>
        <w:tc>
          <w:tcPr>
            <w:tcW w:type="dxa" w:w="800"/>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Aparece en los seis relatos como episodio con fecha: esperas de cuatro y cinco días frente a una cotización vigente, pedidos partidos en dos y compras adelantadas por temor a una subida.</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El tipo de cambio influye en la decisión de compra</w:t>
            </w:r>
          </w:p>
        </w:tc>
        <w:tc>
          <w:tcPr>
            <w:tcW w:type="dxa" w:w="800"/>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Modifica el costo, la cantidad que se pide y el margen. En el caso mejor documentado, Bs 12.040 de diferencia en un solo pedido entre el cálculo y el pago.</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La causa es la falta de información sobre los precios de los repuestos</w:t>
            </w:r>
          </w:p>
        </w:tc>
        <w:tc>
          <w:tcPr>
            <w:tcW w:type="dxa" w:w="800"/>
            <w:tcBorders>
              <w:top w:val="single" w:color="808080" w:sz="4"/>
              <w:left w:val="single" w:color="808080" w:sz="4"/>
              <w:bottom w:val="single" w:color="808080" w:sz="4"/>
              <w:right w:val="single" w:color="808080" w:sz="4"/>
            </w:tcBorders>
            <w:shd w:fill="FCE4E4"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El precio de la pieza es lo que los entrevistados conocen mejor, porque lo cotizan todas las semanas. Lo que no pueden anticipar es el costo en bolivianos del día de pago.</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La información está fragmentada entre varias herramientas</w:t>
            </w:r>
          </w:p>
        </w:tc>
        <w:tc>
          <w:tcPr>
            <w:tcW w:type="dxa" w:w="800"/>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Excel, correo, WhatsApp, sistema contable y sistema de inventario, con archivos de estructura distinta y compras sin todos los costos registrados. Reunirlo cuesta entre seis y diez horas por pedido.</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Todas las empresas deciden por intuición</w:t>
            </w:r>
          </w:p>
        </w:tc>
        <w:tc>
          <w:tcPr>
            <w:tcW w:type="dxa" w:w="800"/>
            <w:tcBorders>
              <w:top w:val="single" w:color="808080" w:sz="4"/>
              <w:left w:val="single" w:color="808080" w:sz="4"/>
              <w:bottom w:val="single" w:color="808080" w:sz="4"/>
              <w:right w:val="single" w:color="808080" w:sz="4"/>
            </w:tcBorders>
            <w:shd w:fill="FCE4E4"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Aparecieron casos con registros históricos, inventario actualizado y clasificación por rotación, que preparan escenarios cambiarios antes de aprobar un pedido.</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Se acumulan repuestos de baja demanda</w:t>
            </w:r>
          </w:p>
        </w:tc>
        <w:tc>
          <w:tcPr>
            <w:tcW w:type="dxa" w:w="800"/>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Bs 55.000 inmovilizados en un caso y alrededor de Bs 30.000 en otro, con productos detenidos entre seis y nueve meses. La compra adelantada por temor a la subida es uno de los caminos que conduce a ello.</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Se pierden ventas por desabastecimiento</w:t>
            </w:r>
          </w:p>
        </w:tc>
        <w:tc>
          <w:tcPr>
            <w:tcW w:type="dxa" w:w="800"/>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Seis ventas no atendidas en dos semanas en el caso mejor documentado, y faltantes posteriores en quien había recortado el tamaño del pedido para cuidar el efectivo.</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El tipo de cambio es el problema principal</w:t>
            </w:r>
          </w:p>
        </w:tc>
        <w:tc>
          <w:tcPr>
            <w:tcW w:type="dxa" w:w="800"/>
            <w:tcBorders>
              <w:top w:val="single" w:color="808080" w:sz="4"/>
              <w:left w:val="single" w:color="808080" w:sz="4"/>
              <w:bottom w:val="single" w:color="808080" w:sz="4"/>
              <w:right w:val="single" w:color="808080" w:sz="4"/>
            </w:tcBorders>
            <w:shd w:fill="FFF2CC"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Es el que más veces se menciona, aunque no quedó demostrado que predomine. En varios relatos pesan más el plazo de entrega y los retrasos aduaneros. Corresponde resolverlo en la próxima ronda.</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Conocer el dólar resolvería la decisión</w:t>
            </w:r>
          </w:p>
        </w:tc>
        <w:tc>
          <w:tcPr>
            <w:tcW w:type="dxa" w:w="800"/>
            <w:tcBorders>
              <w:top w:val="single" w:color="808080" w:sz="4"/>
              <w:left w:val="single" w:color="808080" w:sz="4"/>
              <w:bottom w:val="single" w:color="808080" w:sz="4"/>
              <w:right w:val="single" w:color="808080" w:sz="4"/>
            </w:tcBorders>
            <w:shd w:fill="FCE4E4"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La decisión depende también de la rotación de cada repuesto, del inventario disponible, del capital comprometido, de la forma de pago y del tiempo de reposición. Una pieza de alta salida que tarda tres meses en llegar se compra con otra anticipación.</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Reducir el tamaño del pedido reduce el costo</w:t>
            </w:r>
          </w:p>
        </w:tc>
        <w:tc>
          <w:tcPr>
            <w:tcW w:type="dxa" w:w="800"/>
            <w:tcBorders>
              <w:top w:val="single" w:color="808080" w:sz="4"/>
              <w:left w:val="single" w:color="808080" w:sz="4"/>
              <w:bottom w:val="single" w:color="808080" w:sz="4"/>
              <w:right w:val="single" w:color="808080" w:sz="4"/>
            </w:tcBorders>
            <w:shd w:fill="FCE4E4"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Partir un pedido baja la exposición cambiaria y duplica transporte y comisiones. En uno de los casos, alrededor de Bs 6.500 adicionales.</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El problema está entre los tres principales de la empresa</w:t>
            </w:r>
          </w:p>
        </w:tc>
        <w:tc>
          <w:tcPr>
            <w:tcW w:type="dxa" w:w="800"/>
            <w:tcBorders>
              <w:top w:val="single" w:color="808080" w:sz="4"/>
              <w:left w:val="single" w:color="808080" w:sz="4"/>
              <w:bottom w:val="single" w:color="808080" w:sz="4"/>
              <w:right w:val="single" w:color="808080" w:sz="4"/>
            </w:tcBorders>
            <w:shd w:fill="FFF2CC"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Quien lo afirmó lo ubicó junto a la disponibilidad de dólares y los retrasos logísticos. Con una sola respuesta no alcanza para extenderlo al segmento.</w:t>
            </w:r>
          </w:p>
        </w:tc>
      </w:tr>
      <w:tr>
        <w:tc>
          <w:tcPr>
            <w:tcW w:type="dxa" w:w="2900"/>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b/>
                <w:bCs/>
                <w:sz w:val="21"/>
                <w:szCs w:val="21"/>
              </w:rPr>
              <w:t xml:space="preserve">Pagarían por una herramienta que ayude a decidir</w:t>
            </w:r>
          </w:p>
        </w:tc>
        <w:tc>
          <w:tcPr>
            <w:tcW w:type="dxa" w:w="800"/>
            <w:tcBorders>
              <w:top w:val="single" w:color="808080" w:sz="4"/>
              <w:left w:val="single" w:color="808080" w:sz="4"/>
              <w:bottom w:val="single" w:color="808080" w:sz="4"/>
              <w:right w:val="single" w:color="808080" w:sz="4"/>
            </w:tcBorders>
            <w:shd w:fill="FFF2CC" w:val="clear"/>
            <w:tcMar>
              <w:top w:type="dxa" w:w="60"/>
              <w:left w:type="dxa" w:w="110"/>
              <w:bottom w:type="dxa" w:w="60"/>
              <w:right w:type="dxa" w:w="110"/>
            </w:tcMar>
            <w:vAlign w:val="center"/>
          </w:tcPr>
          <w:p>
            <w:pPr>
              <w:spacing w:after="0" w:line="240"/>
              <w:jc w:val="center"/>
            </w:pPr>
            <w:r>
              <w:rPr>
                <w:rFonts w:ascii="Times New Roman" w:cs="Times New Roman" w:eastAsia="Times New Roman" w:hAnsi="Times New Roman"/>
                <w:b/>
                <w:bCs/>
                <w:sz w:val="26"/>
                <w:szCs w:val="26"/>
              </w:rPr>
              <w:t xml:space="preserve">🤔</w:t>
            </w:r>
          </w:p>
        </w:tc>
        <w:tc>
          <w:tcPr>
            <w:tcW w:type="dxa" w:w="5138"/>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spacing w:after="0" w:line="240"/>
              <w:jc w:val="left"/>
            </w:pPr>
            <w:r>
              <w:rPr>
                <w:rFonts w:ascii="Times New Roman" w:cs="Times New Roman" w:eastAsia="Times New Roman" w:hAnsi="Times New Roman"/>
                <w:sz w:val="21"/>
                <w:szCs w:val="21"/>
              </w:rPr>
              <w:t xml:space="preserve">No corresponde preguntarlo en esta etapa. Lo que sí está medido es que hoy pagan sistema contable, inventario y despachante de aduana, y ninguno les indica cuándo comprar.</w:t>
            </w:r>
          </w:p>
        </w:tc>
      </w:tr>
    </w:tbl>
    <w:p>
      <w:pPr>
        <w:sectPr>
          <w:footerReference w:type="default" r:id="rId7"/>
          <w:pgSz w:w="12240" w:h="15840" w:orient="portrait"/>
          <w:pgMar w:top="1417" w:right="1701" w:bottom="1417" w:left="1701" w:header="708" w:footer="708" w:gutter="0"/>
          <w:pgBorders w:display="firstPage" w:offsetFrom="page">
            <w:top w:val="thinThickSmallGap" w:sz="12" w:space="24" w:color="C00000"/>
            <w:left w:val="thinThickSmallGap" w:sz="12" w:space="24" w:color="C00000"/>
            <w:bottom w:val="thickThinSmallGap" w:sz="12" w:space="24" w:color="C00000"/>
            <w:right w:val="thickThinSmallGap" w:sz="12" w:space="24" w:color="C00000"/>
          </w:pgBorders>
          <w:pgNumType/>
          <w:docGrid w:linePitch="360"/>
        </w:sectPr>
      </w:pPr>
    </w:p>
    <w:p>
      <w:pPr>
        <w:spacing w:after="160" w:before="280" w:line="360"/>
        <w:jc w:val="left"/>
      </w:pPr>
      <w:r>
        <w:rPr>
          <w:rFonts w:ascii="Times New Roman" w:cs="Times New Roman" w:eastAsia="Times New Roman" w:hAnsi="Times New Roman"/>
          <w:b/>
          <w:bCs/>
          <w:sz w:val="26"/>
          <w:szCs w:val="26"/>
        </w:rPr>
        <w:t xml:space="preserve">ANEXO 1. FICHA COMPLETADA EN EL TABLERO DEL EQUIPO</w:t>
      </w:r>
    </w:p>
    <w:p>
      <w:pPr>
        <w:spacing w:after="100" w:line="360"/>
        <w:jc w:val="both"/>
      </w:pPr>
      <w:r>
        <w:rPr>
          <w:rFonts w:ascii="Times New Roman" w:cs="Times New Roman" w:eastAsia="Times New Roman" w:hAnsi="Times New Roman"/>
          <w:sz w:val="24"/>
          <w:szCs w:val="24"/>
        </w:rPr>
        <w:t xml:space="preserve">Captura del mapa de empatía tal como quedó cargado por el equipo, con la autoría de cada casilla a la vista. Corresponde a la entrevista desarrollada en el punto 3.</w:t>
      </w:r>
    </w:p>
    <w:p>
      <w:pPr>
        <w:spacing w:after="120" w:before="120"/>
        <w:jc w:val="center"/>
      </w:pPr>
      <w:r>
        <w:drawing>
          <wp:inline distT="0" distB="0" distL="0" distR="0">
            <wp:extent cx="8953500" cy="4629150"/>
            <wp:effectExtent t="0" r="0" b="0" l="0"/>
            <wp:docPr id="1" name="Mapa de empatía completado en el tablero del equipo" descr="Mapa de empatía completado en el tablero del equipo" title="Mapa de empatía completado en el tablero del 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953500" cy="4629150"/>
                    </a:xfrm>
                    <a:prstGeom prst="rect">
                      <a:avLst/>
                    </a:prstGeom>
                  </pic:spPr>
                </pic:pic>
              </a:graphicData>
            </a:graphic>
          </wp:inline>
        </w:drawing>
      </w:r>
    </w:p>
    <w:sectPr>
      <w:headerReference w:type="default" r:id="rId8"/>
      <w:footerReference w:type="default" r:id="rId9"/>
      <w:pgSz w:w="15840" w:h="12240" w:orient="landscape"/>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right"/>
    </w:pPr>
    <w:r>
      <w:rPr>
        <w:rFonts w:ascii="Times New Roman" w:cs="Times New Roman" w:eastAsia="Times New Roman" w:hAnsi="Times New Roman"/>
        <w:sz w:val="20"/>
        <w:szCs w:val="20"/>
      </w:rPr>
      <w:t xml:space="preserve">Página |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right"/>
    </w:pPr>
    <w:r>
      <w:rPr>
        <w:rFonts w:ascii="Times New Roman" w:cs="Times New Roman" w:eastAsia="Times New Roman" w:hAnsi="Times New Roman"/>
        <w:sz w:val="20"/>
        <w:szCs w:val="20"/>
      </w:rPr>
      <w:t xml:space="preserve">Página |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808080"/>
        <w:sz w:val="18"/>
        <w:szCs w:val="18"/>
      </w:rPr>
      <w:t xml:space="preserve">Validación del Problema  |  Programa Emprendedor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f8564b50c31d81599d1728558747bbf14557e86d.png"/><Relationship Id="rId11" Type="http://schemas.openxmlformats.org/officeDocument/2006/relationships/image" Target="media/75850a472fd4fa6b2fc8c474226d9c7125739c26.png"/><Relationship Id="rId12" Type="http://schemas.openxmlformats.org/officeDocument/2006/relationships/image" Target="media/fba3fe3de999086c912625715f676c693a399e8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2026-09-22T21:39:45.764Z</dcterms:created>
  <dcterms:modified xsi:type="dcterms:W3CDTF">2026-09-22T21:39:45.764Z</dcterms:modified>
</cp:coreProperties>
</file>

<file path=docProps/custom.xml><?xml version="1.0" encoding="utf-8"?>
<Properties xmlns="http://schemas.openxmlformats.org/officeDocument/2006/custom-properties" xmlns:vt="http://schemas.openxmlformats.org/officeDocument/2006/docPropsVTypes"/>
</file>