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48"/>
          <w:szCs w:val="48"/>
          <w:rtl w:val="0"/>
        </w:rPr>
        <w:t xml:space="preserve">User Interface Design Document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8"/>
          <w:szCs w:val="28"/>
          <w:rtl w:val="0"/>
        </w:rPr>
        <w:t xml:space="preserve">UMBC Market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Client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Abhay Kashyap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Team 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Cory Ferrier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Sam Leung</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Seth Jenkins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Wesley Chiou</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Zachary Robinson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rtl w:val="0"/>
        </w:rPr>
        <w:t xml:space="preserve">UMBC Market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vertAlign w:val="baseline"/>
          <w:rtl w:val="0"/>
        </w:rPr>
        <w:t xml:space="preserve">User Interface Design Document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spacing w:after="0" w:line="240" w:lineRule="auto"/>
        <w:contextualSpacing w:val="0"/>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p w:rsidR="00000000" w:rsidDel="00000000" w:rsidP="00000000" w:rsidRDefault="00000000" w:rsidRPr="00000000">
      <w:pPr>
        <w:pStyle w:val="Heading2"/>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ab/>
        <w:tab/>
        <w:tab/>
        <w:tab/>
        <w:tab/>
        <w:tab/>
        <w:tab/>
        <w:tab/>
        <w:tab/>
        <w:tab/>
        <w:tab/>
      </w:r>
      <w:r w:rsidDel="00000000" w:rsidR="00000000" w:rsidRPr="00000000">
        <w:rPr>
          <w:rFonts w:ascii="Arial" w:cs="Arial" w:eastAsia="Arial" w:hAnsi="Arial"/>
          <w:u w:val="single"/>
          <w:vertAlign w:val="baseline"/>
          <w:rtl w:val="0"/>
        </w:rPr>
        <w:t xml:space="preserve">Page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spacing w:after="0" w:line="240" w:lineRule="auto"/>
        <w:contextualSpacing w:val="0"/>
      </w:pPr>
      <w:r w:rsidDel="00000000" w:rsidR="00000000" w:rsidRPr="00000000">
        <w:rPr>
          <w:rFonts w:ascii="Arial" w:cs="Arial" w:eastAsia="Arial" w:hAnsi="Arial"/>
          <w:b w:val="0"/>
          <w:vertAlign w:val="baseline"/>
          <w:rtl w:val="0"/>
        </w:rPr>
        <w:t xml:space="preserve">1.  Introduction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1"/>
          <w:numId w:val="1"/>
        </w:numPr>
        <w:spacing w:after="0" w:line="240" w:lineRule="auto"/>
        <w:ind w:left="1140" w:hanging="420"/>
        <w:rPr>
          <w:rFonts w:ascii="Arial" w:cs="Arial" w:eastAsia="Arial" w:hAnsi="Arial"/>
          <w:b w:val="0"/>
          <w:sz w:val="24"/>
          <w:szCs w:val="24"/>
        </w:rPr>
      </w:pPr>
      <w:r w:rsidDel="00000000" w:rsidR="00000000" w:rsidRPr="00000000">
        <w:rPr>
          <w:rFonts w:ascii="Arial" w:cs="Arial" w:eastAsia="Arial" w:hAnsi="Arial"/>
          <w:vertAlign w:val="baseline"/>
          <w:rtl w:val="0"/>
        </w:rPr>
        <w:t xml:space="preserve">Purpose of This Document</w:t>
      </w:r>
      <w:r w:rsidDel="00000000" w:rsidR="00000000" w:rsidRPr="00000000">
        <w:rPr>
          <w:rtl w:val="0"/>
        </w:rPr>
      </w:r>
    </w:p>
    <w:p w:rsidR="00000000" w:rsidDel="00000000" w:rsidP="00000000" w:rsidRDefault="00000000" w:rsidRPr="00000000">
      <w:pPr>
        <w:numPr>
          <w:ilvl w:val="1"/>
          <w:numId w:val="1"/>
        </w:numPr>
        <w:spacing w:after="0" w:line="240" w:lineRule="auto"/>
        <w:ind w:left="1140" w:hanging="420"/>
        <w:rPr>
          <w:rFonts w:ascii="Arial" w:cs="Arial" w:eastAsia="Arial" w:hAnsi="Arial"/>
          <w:b w:val="0"/>
          <w:sz w:val="24"/>
          <w:szCs w:val="24"/>
        </w:rPr>
      </w:pPr>
      <w:r w:rsidDel="00000000" w:rsidR="00000000" w:rsidRPr="00000000">
        <w:rPr>
          <w:rFonts w:ascii="Arial" w:cs="Arial" w:eastAsia="Arial" w:hAnsi="Arial"/>
          <w:vertAlign w:val="baseline"/>
          <w:rtl w:val="0"/>
        </w:rPr>
        <w:t xml:space="preserve">References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2. User Interface Standards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3. User Interface Walkthrough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4. Data Validation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5. Report Formats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Appendix A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Agreement Between Customer and Contractor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Appendix B – Peer Review Sign-off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Appendix C – Document Contributions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0" w:line="240" w:lineRule="auto"/>
        <w:contextualSpacing w:val="0"/>
      </w:pPr>
      <w:r w:rsidDel="00000000" w:rsidR="00000000" w:rsidRPr="00000000">
        <w:rPr>
          <w:rFonts w:ascii="Arial" w:cs="Arial" w:eastAsia="Arial" w:hAnsi="Arial"/>
          <w:b w:val="1"/>
          <w:sz w:val="36"/>
          <w:szCs w:val="36"/>
          <w:vertAlign w:val="baseline"/>
          <w:rtl w:val="0"/>
        </w:rPr>
        <w:t xml:space="preserve">1.  Introduction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Fonts w:ascii="Arial" w:cs="Arial" w:eastAsia="Arial" w:hAnsi="Arial"/>
          <w:b w:val="1"/>
          <w:sz w:val="24"/>
          <w:szCs w:val="24"/>
          <w:vertAlign w:val="baseline"/>
          <w:rtl w:val="0"/>
        </w:rPr>
        <w:t xml:space="preserve">1.1 Purpose of This Document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The purpose of this document is to show the user how to navigate and interact with the UMBC Market web application. Images will show how UMBC Market is interconnected and will display the different pages within the application, highlighting important features to familiarize users with all that UMBC Market has to offer. </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Arial" w:cs="Arial" w:eastAsia="Arial" w:hAnsi="Arial"/>
          <w:b w:val="1"/>
          <w:rtl w:val="0"/>
        </w:rPr>
        <w:t xml:space="preserve">1.2</w:t>
      </w:r>
      <w:r w:rsidDel="00000000" w:rsidR="00000000" w:rsidRPr="00000000">
        <w:rPr>
          <w:rFonts w:ascii="Arial" w:cs="Arial" w:eastAsia="Arial" w:hAnsi="Arial"/>
          <w:b w:val="1"/>
          <w:vertAlign w:val="baseline"/>
          <w:rtl w:val="0"/>
        </w:rPr>
        <w:t xml:space="preserve"> References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rFonts w:ascii="Arial" w:cs="Arial" w:eastAsia="Arial" w:hAnsi="Arial"/>
          <w:b w:val="0"/>
          <w:sz w:val="24"/>
          <w:szCs w:val="24"/>
          <w:u w:val="none"/>
          <w:vertAlign w:val="baseline"/>
        </w:rPr>
      </w:pPr>
      <w:r w:rsidDel="00000000" w:rsidR="00000000" w:rsidRPr="00000000">
        <w:rPr>
          <w:rFonts w:ascii="Arial" w:cs="Arial" w:eastAsia="Arial" w:hAnsi="Arial"/>
          <w:rtl w:val="0"/>
        </w:rPr>
        <w:t xml:space="preserve">UMBC Market Systems Requirements Specifications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rPr>
          <w:rFonts w:ascii="Arial" w:cs="Arial" w:eastAsia="Arial" w:hAnsi="Arial"/>
          <w:b w:val="1"/>
          <w:sz w:val="36"/>
          <w:szCs w:val="36"/>
        </w:rPr>
      </w:pPr>
      <w:r w:rsidDel="00000000" w:rsidR="00000000" w:rsidRPr="00000000">
        <w:rPr>
          <w:rFonts w:ascii="Arial" w:cs="Arial" w:eastAsia="Arial" w:hAnsi="Arial"/>
          <w:b w:val="1"/>
          <w:sz w:val="36"/>
          <w:szCs w:val="36"/>
          <w:vertAlign w:val="baseline"/>
          <w:rtl w:val="0"/>
        </w:rPr>
        <w:t xml:space="preserve">User Interface Standards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This section contains an overview of the design standards used in the UMBC Market web application. As displayed in figures 1.0 and 1.1, there are 4 aspects to the UMBC Market layout that remain consistent throughout the application. First, the UMBC Market logo will appear in the upper left corner of every page. Second, a help and FAQ button will appear in the upper right corner of every page. A search bar will always appear at the top of the screen. The currently logged in user will be greeted just below the help and FAQ button along with the account settings button and sign-out button. If the user has not logged in yet, then this greeting and the 2 buttons will be replaced with a username and password.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1"/>
          <w:rtl w:val="0"/>
        </w:rPr>
        <w:t xml:space="preserve">Figure 1.0(Main Page,not logged in)</w:t>
        <w:tab/>
        <w:tab/>
        <w:t xml:space="preserve">Figure 1.1(Main Page, logged in)</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890838" cy="3517766"/>
            <wp:effectExtent b="0" l="0" r="0" t="0"/>
            <wp:docPr descr="Main-no login.PNG" id="2" name="image09.png"/>
            <a:graphic>
              <a:graphicData uri="http://schemas.openxmlformats.org/drawingml/2006/picture">
                <pic:pic>
                  <pic:nvPicPr>
                    <pic:cNvPr descr="Main-no login.PNG" id="0" name="image09.png"/>
                    <pic:cNvPicPr preferRelativeResize="0"/>
                  </pic:nvPicPr>
                  <pic:blipFill>
                    <a:blip r:embed="rId5"/>
                    <a:srcRect b="0" l="0" r="0" t="0"/>
                    <a:stretch>
                      <a:fillRect/>
                    </a:stretch>
                  </pic:blipFill>
                  <pic:spPr>
                    <a:xfrm>
                      <a:off x="0" y="0"/>
                      <a:ext cx="2890838" cy="3517766"/>
                    </a:xfrm>
                    <a:prstGeom prst="rect"/>
                    <a:ln/>
                  </pic:spPr>
                </pic:pic>
              </a:graphicData>
            </a:graphic>
          </wp:inline>
        </w:drawing>
      </w:r>
      <w:r w:rsidDel="00000000" w:rsidR="00000000" w:rsidRPr="00000000">
        <w:drawing>
          <wp:inline distB="114300" distT="114300" distL="114300" distR="114300">
            <wp:extent cx="2899809" cy="3529013"/>
            <wp:effectExtent b="0" l="0" r="0" t="0"/>
            <wp:docPr descr="Main.PNG" id="6" name="image13.png"/>
            <a:graphic>
              <a:graphicData uri="http://schemas.openxmlformats.org/drawingml/2006/picture">
                <pic:pic>
                  <pic:nvPicPr>
                    <pic:cNvPr descr="Main.PNG" id="0" name="image13.png"/>
                    <pic:cNvPicPr preferRelativeResize="0"/>
                  </pic:nvPicPr>
                  <pic:blipFill>
                    <a:blip r:embed="rId6"/>
                    <a:srcRect b="0" l="0" r="0" t="0"/>
                    <a:stretch>
                      <a:fillRect/>
                    </a:stretch>
                  </pic:blipFill>
                  <pic:spPr>
                    <a:xfrm>
                      <a:off x="0" y="0"/>
                      <a:ext cx="2899809" cy="35290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rPr>
          <w:rFonts w:ascii="Arial" w:cs="Arial" w:eastAsia="Arial" w:hAnsi="Arial"/>
          <w:b w:val="1"/>
          <w:sz w:val="36"/>
          <w:szCs w:val="36"/>
        </w:rPr>
      </w:pPr>
      <w:r w:rsidDel="00000000" w:rsidR="00000000" w:rsidRPr="00000000">
        <w:rPr>
          <w:rFonts w:ascii="Arial" w:cs="Arial" w:eastAsia="Arial" w:hAnsi="Arial"/>
          <w:b w:val="1"/>
          <w:sz w:val="36"/>
          <w:szCs w:val="36"/>
          <w:vertAlign w:val="baseline"/>
          <w:rtl w:val="0"/>
        </w:rPr>
        <w:t xml:space="preserve">User Interface Walkthrough</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rtl w:val="0"/>
        </w:rPr>
        <w:t xml:space="preserve">3.1 UMBC Market Navigation Diagram</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following navigation diagram or sitemap explains possible user flow through the system.  </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6016841" cy="2795588"/>
            <wp:effectExtent b="0" l="0" r="0" t="0"/>
            <wp:docPr descr="Navigation Diagram.png" id="7" name="image14.png"/>
            <a:graphic>
              <a:graphicData uri="http://schemas.openxmlformats.org/drawingml/2006/picture">
                <pic:pic>
                  <pic:nvPicPr>
                    <pic:cNvPr descr="Navigation Diagram.png" id="0" name="image14.png"/>
                    <pic:cNvPicPr preferRelativeResize="0"/>
                  </pic:nvPicPr>
                  <pic:blipFill>
                    <a:blip r:embed="rId7"/>
                    <a:srcRect b="0" l="0" r="0" t="0"/>
                    <a:stretch>
                      <a:fillRect/>
                    </a:stretch>
                  </pic:blipFill>
                  <pic:spPr>
                    <a:xfrm>
                      <a:off x="0" y="0"/>
                      <a:ext cx="6016841" cy="27955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rtl w:val="0"/>
        </w:rPr>
        <w:t xml:space="preserve">3.2 UMBC Market Walkthrough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666666"/>
          <w:rtl w:val="0"/>
        </w:rPr>
        <w:t xml:space="preserve">3.2.1 Main Page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first page, or home page, the user will see is the Main Page (Figure 1.0). This page contains the User Interface Standards, mentioned earlier in Section 2, as well as a Search Bar, and Search Button. Below the search bar and applied tags are the most recent postings. On this page the user can enter a user, item or service into the Search Box, click the Search Button, on the right, or hit the return key, to begin a search. The results of the search are displayed below, replacing the most recent postings with offers that coincide with the search string and applied tags. The results can be organized based on time, user and title which the user can determine using drop down menu below the UMBC Market icon. The user may click on either the title of an offer, to navigate to the View Offer Page (Figure 2.</w:t>
      </w:r>
      <w:r w:rsidDel="00000000" w:rsidR="00000000" w:rsidRPr="00000000">
        <w:rPr>
          <w:rFonts w:ascii="Arial" w:cs="Arial" w:eastAsia="Arial" w:hAnsi="Arial"/>
          <w:rtl w:val="0"/>
        </w:rPr>
        <w:t xml:space="preserve">0</w:t>
      </w:r>
      <w:r w:rsidDel="00000000" w:rsidR="00000000" w:rsidRPr="00000000">
        <w:rPr>
          <w:rFonts w:ascii="Arial" w:cs="Arial" w:eastAsia="Arial" w:hAnsi="Arial"/>
          <w:rtl w:val="0"/>
        </w:rPr>
        <w:t xml:space="preserve">),or the username of the user who submitted the offer, to navigate to the New Message Page(Figure 2.</w:t>
      </w: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 In addition to searching by text, the user can further narrow down the search by using tags. Tags can be added using the tag search bar which will attempt to auto-fill the string via a dropdown menu with completed suggestions. Any tag which are applied will be displayed below the tag search bar. Currently applied tags can be removed by clicking on them. The user can create new offers by clicking on the Create New Offer button. The button will lead them to the Create New Offer Page(Figure 2.</w:t>
      </w: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 where there are title, starting offer and description fields to fill out before the user can submit the new offer. The user can optionally upload a thumbnail image to their offer along with additional images. Tags can be added in a similar fashion as the search tags. An envelope icon will appear above the Settings button if the user has an unread message. Clicking the envelope will take the user to the View Messages Page(Figure 2.</w:t>
      </w: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666666"/>
          <w:rtl w:val="0"/>
        </w:rPr>
        <w:t xml:space="preserve">3.2.2 View Offer Page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The View Offer Page will display the offer as it appeared on the Main Page along with the starting offer, the description and any additional pictures that the submitter has uploaded. The user can respond to the offer by clicking on the Respond to Offer button which will take the user to the New Message Page with the submitter of the offer as the recipient of the new message. The search order drop down menu will be replaced with a return button which will take the user back to the Main Page. A report button is available if the submitter is offering illicit services or items or is using defamatory language.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666666"/>
          <w:rtl w:val="0"/>
        </w:rPr>
        <w:t xml:space="preserve">3.2.3 Account Page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Clicking the Settings button will take the user to the Account Page(Figure 3.0). The user can change their password by clicking Change Password, access their message box by clicking Messaging, change their notifications by clicking Notification Settings, change their privacy settings by clicking Privacy Settings, and can report a user by clicking Report Misconduct. The user’s currently active offers will be displayed below the account options with X’s on the left of the offer which will remove the offer from the database. Clicking on Messaging will take the user to the View Messages Page where their outgoing and incoming messages can be viewed, responded to and deleted. Clicking on the title to a message will take the user to the New Message Page with the sender as the recipient of the new message.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Figure 2.0(View Offer Page)</w:t>
        <w:tab/>
        <w:tab/>
        <w:tab/>
        <w:t xml:space="preserve">Figure 2.1 (New Message Page)</w:t>
      </w:r>
      <w:r w:rsidDel="00000000" w:rsidR="00000000" w:rsidRPr="00000000">
        <w:drawing>
          <wp:inline distB="114300" distT="114300" distL="114300" distR="114300">
            <wp:extent cx="2738438" cy="3332967"/>
            <wp:effectExtent b="0" l="0" r="0" t="0"/>
            <wp:docPr descr="View Offer.PNG" id="1" name="image06.png"/>
            <a:graphic>
              <a:graphicData uri="http://schemas.openxmlformats.org/drawingml/2006/picture">
                <pic:pic>
                  <pic:nvPicPr>
                    <pic:cNvPr descr="View Offer.PNG" id="0" name="image06.png"/>
                    <pic:cNvPicPr preferRelativeResize="0"/>
                  </pic:nvPicPr>
                  <pic:blipFill>
                    <a:blip r:embed="rId8"/>
                    <a:srcRect b="0" l="0" r="0" t="0"/>
                    <a:stretch>
                      <a:fillRect/>
                    </a:stretch>
                  </pic:blipFill>
                  <pic:spPr>
                    <a:xfrm>
                      <a:off x="0" y="0"/>
                      <a:ext cx="2738438" cy="3332967"/>
                    </a:xfrm>
                    <a:prstGeom prst="rect"/>
                    <a:ln/>
                  </pic:spPr>
                </pic:pic>
              </a:graphicData>
            </a:graphic>
          </wp:inline>
        </w:drawing>
      </w:r>
      <w:r w:rsidDel="00000000" w:rsidR="00000000" w:rsidRPr="00000000">
        <w:drawing>
          <wp:inline distB="114300" distT="114300" distL="114300" distR="114300">
            <wp:extent cx="2719388" cy="3311825"/>
            <wp:effectExtent b="0" l="0" r="0" t="0"/>
            <wp:docPr descr="New Message.PNG" id="5" name="image12.png"/>
            <a:graphic>
              <a:graphicData uri="http://schemas.openxmlformats.org/drawingml/2006/picture">
                <pic:pic>
                  <pic:nvPicPr>
                    <pic:cNvPr descr="New Message.PNG" id="0" name="image12.png"/>
                    <pic:cNvPicPr preferRelativeResize="0"/>
                  </pic:nvPicPr>
                  <pic:blipFill>
                    <a:blip r:embed="rId9"/>
                    <a:srcRect b="0" l="0" r="0" t="0"/>
                    <a:stretch>
                      <a:fillRect/>
                    </a:stretch>
                  </pic:blipFill>
                  <pic:spPr>
                    <a:xfrm>
                      <a:off x="0" y="0"/>
                      <a:ext cx="2719388" cy="33118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Figure 2.2(Create Offer Page)</w:t>
        <w:tab/>
        <w:tab/>
        <w:tab/>
        <w:t xml:space="preserve">Figure 2.3 (View Messages Page)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881313" cy="3500056"/>
            <wp:effectExtent b="0" l="0" r="0" t="0"/>
            <wp:docPr descr="New Offer.PNG" id="8" name="image15.png"/>
            <a:graphic>
              <a:graphicData uri="http://schemas.openxmlformats.org/drawingml/2006/picture">
                <pic:pic>
                  <pic:nvPicPr>
                    <pic:cNvPr descr="New Offer.PNG" id="0" name="image15.png"/>
                    <pic:cNvPicPr preferRelativeResize="0"/>
                  </pic:nvPicPr>
                  <pic:blipFill>
                    <a:blip r:embed="rId10"/>
                    <a:srcRect b="0" l="0" r="0" t="0"/>
                    <a:stretch>
                      <a:fillRect/>
                    </a:stretch>
                  </pic:blipFill>
                  <pic:spPr>
                    <a:xfrm>
                      <a:off x="0" y="0"/>
                      <a:ext cx="2881313" cy="3500056"/>
                    </a:xfrm>
                    <a:prstGeom prst="rect"/>
                    <a:ln/>
                  </pic:spPr>
                </pic:pic>
              </a:graphicData>
            </a:graphic>
          </wp:inline>
        </w:drawing>
      </w:r>
      <w:r w:rsidDel="00000000" w:rsidR="00000000" w:rsidRPr="00000000">
        <w:drawing>
          <wp:inline distB="114300" distT="114300" distL="114300" distR="114300">
            <wp:extent cx="2871788" cy="3514289"/>
            <wp:effectExtent b="0" l="0" r="0" t="0"/>
            <wp:docPr descr="View Messages.PNG" id="3" name="image10.png"/>
            <a:graphic>
              <a:graphicData uri="http://schemas.openxmlformats.org/drawingml/2006/picture">
                <pic:pic>
                  <pic:nvPicPr>
                    <pic:cNvPr descr="View Messages.PNG" id="0" name="image10.png"/>
                    <pic:cNvPicPr preferRelativeResize="0"/>
                  </pic:nvPicPr>
                  <pic:blipFill>
                    <a:blip r:embed="rId11"/>
                    <a:srcRect b="0" l="0" r="0" t="0"/>
                    <a:stretch>
                      <a:fillRect/>
                    </a:stretch>
                  </pic:blipFill>
                  <pic:spPr>
                    <a:xfrm>
                      <a:off x="0" y="0"/>
                      <a:ext cx="2871788" cy="351428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Figure 3.0(Account Page)</w:t>
        <w:tab/>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2890838" cy="3518095"/>
            <wp:effectExtent b="0" l="0" r="0" t="0"/>
            <wp:docPr descr="Account.PNG" id="4" name="image11.png"/>
            <a:graphic>
              <a:graphicData uri="http://schemas.openxmlformats.org/drawingml/2006/picture">
                <pic:pic>
                  <pic:nvPicPr>
                    <pic:cNvPr descr="Account.PNG" id="0" name="image11.png"/>
                    <pic:cNvPicPr preferRelativeResize="0"/>
                  </pic:nvPicPr>
                  <pic:blipFill>
                    <a:blip r:embed="rId12"/>
                    <a:srcRect b="0" l="0" r="0" t="0"/>
                    <a:stretch>
                      <a:fillRect/>
                    </a:stretch>
                  </pic:blipFill>
                  <pic:spPr>
                    <a:xfrm>
                      <a:off x="0" y="0"/>
                      <a:ext cx="2890838" cy="35180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rPr>
          <w:rFonts w:ascii="Arial" w:cs="Arial" w:eastAsia="Arial" w:hAnsi="Arial"/>
          <w:b w:val="1"/>
          <w:sz w:val="36"/>
          <w:szCs w:val="36"/>
        </w:rPr>
      </w:pPr>
      <w:r w:rsidDel="00000000" w:rsidR="00000000" w:rsidRPr="00000000">
        <w:rPr>
          <w:rFonts w:ascii="Arial" w:cs="Arial" w:eastAsia="Arial" w:hAnsi="Arial"/>
          <w:b w:val="1"/>
          <w:sz w:val="36"/>
          <w:szCs w:val="36"/>
          <w:vertAlign w:val="baseline"/>
          <w:rtl w:val="0"/>
        </w:rPr>
        <w:t xml:space="preserve">Data Validation</w:t>
      </w: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following table describes the possible inputs that the Application accepts and their associated restrictions.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265"/>
        <w:gridCol w:w="870"/>
        <w:gridCol w:w="1050"/>
        <w:gridCol w:w="2220"/>
        <w:gridCol w:w="1320"/>
        <w:tblGridChange w:id="0">
          <w:tblGrid>
            <w:gridCol w:w="1635"/>
            <w:gridCol w:w="2265"/>
            <w:gridCol w:w="870"/>
            <w:gridCol w:w="1050"/>
            <w:gridCol w:w="2220"/>
            <w:gridCol w:w="1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Type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Format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Limit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Figure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Search Entry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Used to refine displayed listings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50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Log-in 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Log-in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Add Tags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Used to view a category of listings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1.0, 1.1, 2.2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Subject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Subject for a 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100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Body of a 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1000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Title for a new offer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50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Description of a new offer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500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Starting Offer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Initial bargaining point for a new offer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50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2.2</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sectPr>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20" w:firstLine="0"/>
      </w:pPr>
      <w:rPr>
        <w:vertAlign w:val="baseline"/>
      </w:rPr>
    </w:lvl>
    <w:lvl w:ilvl="1">
      <w:start w:val="1"/>
      <w:numFmt w:val="decimal"/>
      <w:lvlText w:val="%1.%2"/>
      <w:lvlJc w:val="left"/>
      <w:pPr>
        <w:ind w:left="1140" w:firstLine="720"/>
      </w:pPr>
      <w:rPr>
        <w:vertAlign w:val="baseline"/>
      </w:rPr>
    </w:lvl>
    <w:lvl w:ilvl="2">
      <w:start w:val="1"/>
      <w:numFmt w:val="decimal"/>
      <w:lvlText w:val="%1.%2.%3"/>
      <w:lvlJc w:val="left"/>
      <w:pPr>
        <w:ind w:left="2160" w:firstLine="1440"/>
      </w:pPr>
      <w:rPr>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decimal"/>
      <w:lvlText w:val="%1."/>
      <w:lvlJc w:val="left"/>
      <w:pPr>
        <w:ind w:left="36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center" w:pos="4320"/>
          <w:tab w:val="right" w:pos="8640"/>
        </w:tabs>
        <w:spacing w:after="72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footer" Target="footer1.xm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09.png"/><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06.png"/></Relationships>
</file>