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618"/>
        <w:gridCol w:w="2441"/>
        <w:gridCol w:w="1964"/>
        <w:gridCol w:w="1364"/>
        <w:gridCol w:w="1964"/>
        <w:gridCol w:w="1364"/>
      </w:tblGrid>
      <w:tr>
        <w:trPr>
          <w:cantSplit/>
          <w:trHeight w:val="329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model including case volume as covariate = TRUE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Continuous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Binary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Patient outcomes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OR(95% CI).x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p-value.x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OR(95% CI).y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p-value.y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0.96(0.77, 1.21)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1(0.66, 1.52)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0.85(0.71, 1.03)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0.82(0.58, 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1.04(0.88,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1.08(0.8, 1.47)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1(0.76, 1.32)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1.19(0.7,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Leadership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0.94(0.75, 1.17)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0.83(0.52, 1.32)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0.82(0.68, 0.98)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0.63(0.43,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1.06(0.9, 1.25)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1.04(0.74, 1.47)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0.94(0.72,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1.29(0.7, 2.36)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Operative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0.93(0.75, 1.16)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1.02(0.67, 1.57)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0.91(0.76, 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0.82(0.57, 1.16)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1.08(0.92,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1.08(0.79, 1.47)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0.99(0.75, 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0.98(0.58, 1.65)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Professional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Severe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0.93(0.79,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0.84(0.56, 1.26)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Any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0.84(0.74, 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0.71(0.51, 1.01)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Readmission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0.98(0.86, 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0.9(0.67, 1.22)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1.05(0.85, 1.3)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1.13(0.67, 1.91)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2021-03-12T11:33:40Z</dcterms:modified>
  <cp:category/>
</cp:coreProperties>
</file>