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707"/>
        <w:gridCol w:w="2441"/>
        <w:gridCol w:w="1964"/>
        <w:gridCol w:w="1364"/>
        <w:gridCol w:w="1964"/>
        <w:gridCol w:w="1364"/>
      </w:tblGrid>
      <w:tr>
        <w:trPr>
          <w:cantSplit/>
          <w:trHeight w:val="332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model including case volume as covariate = FALSE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Continuous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Binary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Patient outcomes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OR(95% CI).x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OR(95% CI).y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p-value.y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0.95(0.76, 1.19)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0.97(0.64, 1.48)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0.85(0.7, 1.02)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0.81(0.58,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1.04(0.88,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1.08(0.8, 1.47)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0.98(0.74, 1.31)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1.14(0.67, 1.94)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Leadership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0.93(0.75, 1.16)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0.81(0.51, 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0.82(0.68, 0.98)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0.63(0.43, 0.92)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1.06(0.9, 1.25)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1.05(0.74, 1.47)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0.93(0.71, 1.22)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1.26(0.68, 2.33)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Operative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0.91(0.74,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0.99(0.65, 1.52)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0.91(0.76,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0.81(0.57, 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1.08(0.92,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1.08(0.79, 1.47)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0.96(0.73, 1.26)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0.94(0.56, 1.59)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Professional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0.92(0.79,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0.82(0.55, 1.24)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0.84(0.74, 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0.71(0.5,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0.98(0.86, 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0.91(0.67,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1.05(0.84, 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1.11(0.65, 1.88)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2021-03-12T11:33:50Z</dcterms:modified>
  <cp:category/>
</cp:coreProperties>
</file>