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745"/>
        <w:gridCol w:w="1976"/>
        <w:gridCol w:w="1988"/>
        <w:gridCol w:w="1976"/>
        <w:gridCol w:w="1939"/>
        <w:gridCol w:w="1976"/>
        <w:gridCol w:w="1633"/>
        <w:gridCol w:w="1976"/>
        <w:gridCol w:w="1792"/>
      </w:tblGrid>
      <w:tr>
        <w:trPr>
          <w:cantSplit/>
          <w:trHeight w:val="436" w:hRule="auto"/>
          <w:tblHeader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Any complication regression tables per Milestone rating</w:t>
            </w:r>
          </w:p>
        </w:tc>
      </w:tr>
      <w:tr>
        <w:trPr>
          <w:cantSplit/>
          <w:trHeight w:val="438" w:hRule="auto"/>
          <w:tblHeader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Odds Ratio (95% Confidence Interval)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Overall 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Overall Mean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Professional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Professional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Operative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Operative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Leadership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Leadership P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milestone_rating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 (0.58-1.14)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(0.5-1)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 (0.57-1.15)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 (0.43-0.92)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 Gender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 (0.64-1.09)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 (0.64-1.09)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 (0.65-1.09)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 (0.64-1.08)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Age on admission, yr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(0.81-1.04)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(0.81-1.04)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(0.8-1.04)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(0.8-1.03)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 -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(0.39-0.88)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 (0.39-0.88)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(0.39-0.87)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(0.39-0.87)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Emergency Admission Status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(1.54-2.95)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(1.54-2.94)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(1.54-2.95)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 (1.53-2.92)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AHRQ Elixhauser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(1.85-2.44)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 (1.84-2.43)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2.12 (1.85-2.44)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(1.85-2.44)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 SES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 (0.65-1.14)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 (0.65-1.13)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 (0.65-1.14)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(0.64-1.12)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Claim 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 (0.75-1.14)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 (0.76-1.15)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 (0.75-1.14)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 (0.75-1.15)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Presence of assistant surgeon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 (0.56-1)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 (0.55-0.99)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 (0.56-0.99)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 (0.57-1.01)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 Beds(≥350)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 (0.96-1.71)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(0.97-1.73)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 (0.96-1.69)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 (0.99-1.75)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Facility Medicaid/Facility inpatient days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 (0.1-1.85)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 (0.1-1.86)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 (0.1-1.82)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 (0.1-1.78)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Registered nurse to bed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(0.99-1.43)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 (0.98-1.42)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(0.99-1.44)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 (0.98-1.42)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2021-03-11T16:14:45Z</dcterms:modified>
  <cp:category/>
</cp:coreProperties>
</file>