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2F733" w14:textId="7546A735" w:rsidR="007379D6" w:rsidRDefault="00860C53" w:rsidP="00BA6848">
      <w:pPr>
        <w:pStyle w:val="Title"/>
      </w:pPr>
      <w:r>
        <w:t>Functional</w:t>
      </w:r>
      <w:r w:rsidR="007379D6">
        <w:t xml:space="preserve"> contexts </w:t>
      </w:r>
      <w:r>
        <w:t>of</w:t>
      </w:r>
      <w:r w:rsidR="00FA3A83">
        <w:t xml:space="preserve"> adipose and</w:t>
      </w:r>
      <w:r w:rsidR="002B3482">
        <w:t xml:space="preserve"> </w:t>
      </w:r>
      <w:r w:rsidR="00FA3A83">
        <w:t>gluteal</w:t>
      </w:r>
      <w:r w:rsidR="002B3482">
        <w:t xml:space="preserve"> muscle </w:t>
      </w:r>
      <w:r w:rsidR="00FA3A83">
        <w:t>tissue</w:t>
      </w:r>
      <w:r>
        <w:t xml:space="preserve"> </w:t>
      </w:r>
      <w:r w:rsidR="007379D6">
        <w:t>co-expression</w:t>
      </w:r>
      <w:r>
        <w:t xml:space="preserve"> networks</w:t>
      </w:r>
      <w:r w:rsidR="007379D6">
        <w:t xml:space="preserve"> in the domestic horse</w:t>
      </w:r>
    </w:p>
    <w:p w14:paraId="0BF24B94" w14:textId="3B76F311" w:rsidR="007379D6" w:rsidRPr="00966D4A" w:rsidRDefault="007379D6" w:rsidP="00BA6848">
      <w:pPr>
        <w:pStyle w:val="Subtitle"/>
      </w:pPr>
      <w:r w:rsidRPr="00966D4A">
        <w:t>Robert J Schaefer</w:t>
      </w:r>
      <w:r w:rsidRPr="00966D4A">
        <w:rPr>
          <w:vertAlign w:val="superscript"/>
        </w:rPr>
        <w:t>1</w:t>
      </w:r>
      <w:r w:rsidRPr="00966D4A">
        <w:t>, Jonah Cullen</w:t>
      </w:r>
      <w:r w:rsidRPr="00966D4A">
        <w:rPr>
          <w:vertAlign w:val="superscript"/>
        </w:rPr>
        <w:t>1</w:t>
      </w:r>
      <w:r w:rsidRPr="00966D4A">
        <w:t>,</w:t>
      </w:r>
      <w:r w:rsidR="00A47F09">
        <w:t xml:space="preserve"> Jane Manfredi</w:t>
      </w:r>
      <w:r w:rsidR="00A47F09" w:rsidRPr="00A47F09">
        <w:rPr>
          <w:vertAlign w:val="superscript"/>
        </w:rPr>
        <w:t>2</w:t>
      </w:r>
      <w:r w:rsidR="00A47F09">
        <w:t>,</w:t>
      </w:r>
      <w:r w:rsidRPr="00966D4A">
        <w:t xml:space="preserve"> Molly McCue</w:t>
      </w:r>
      <w:r w:rsidRPr="00966D4A">
        <w:rPr>
          <w:vertAlign w:val="superscript"/>
        </w:rPr>
        <w:t>1</w:t>
      </w:r>
    </w:p>
    <w:p w14:paraId="694A1D64" w14:textId="1025C315" w:rsidR="007379D6" w:rsidRPr="00A47F09" w:rsidRDefault="007379D6" w:rsidP="00BA6848">
      <w:pPr>
        <w:pStyle w:val="Subtitle"/>
      </w:pPr>
      <w:r w:rsidRPr="003C081F">
        <w:rPr>
          <w:vertAlign w:val="superscript"/>
        </w:rPr>
        <w:t>1</w:t>
      </w:r>
      <w:r w:rsidRPr="00A47F09">
        <w:t xml:space="preserve"> Department of Veterinary Population Medicine, College of Veterinary Medicine, University of Minnesota, St. Paul, MN</w:t>
      </w:r>
    </w:p>
    <w:p w14:paraId="13B9B700" w14:textId="77C25D46" w:rsidR="00A47F09" w:rsidRPr="00A47F09" w:rsidRDefault="00A47F09" w:rsidP="00BA6848">
      <w:pPr>
        <w:pStyle w:val="Subtitle"/>
      </w:pPr>
      <w:r w:rsidRPr="003C081F">
        <w:rPr>
          <w:vertAlign w:val="superscript"/>
        </w:rPr>
        <w:t>2</w:t>
      </w:r>
      <w:r w:rsidRPr="00A47F09">
        <w:t xml:space="preserve"> Department of Pathobiology and Diagnostic Investigation, College of Veterinary Medicine, Michigan State University,</w:t>
      </w:r>
      <w:r>
        <w:t xml:space="preserve"> East Lansing, MI</w:t>
      </w:r>
    </w:p>
    <w:p w14:paraId="5B56811C" w14:textId="77777777" w:rsidR="007379D6" w:rsidRDefault="007379D6" w:rsidP="00BA6848">
      <w:r>
        <w:t>Notes:</w:t>
      </w:r>
    </w:p>
    <w:p w14:paraId="20A3EBB6" w14:textId="77777777" w:rsidR="007379D6" w:rsidRDefault="0006301E" w:rsidP="00BA6848">
      <w:pPr>
        <w:pStyle w:val="ListParagraph"/>
        <w:numPr>
          <w:ilvl w:val="0"/>
          <w:numId w:val="1"/>
        </w:numPr>
      </w:pPr>
      <w:hyperlink r:id="rId6" w:history="1">
        <w:r w:rsidR="007379D6" w:rsidRPr="00B81274">
          <w:rPr>
            <w:rStyle w:val="Hyperlink"/>
          </w:rPr>
          <w:t xml:space="preserve">General </w:t>
        </w:r>
        <w:r w:rsidR="007379D6">
          <w:rPr>
            <w:rStyle w:val="Hyperlink"/>
          </w:rPr>
          <w:t xml:space="preserve">ICB Journal </w:t>
        </w:r>
        <w:r w:rsidR="007379D6" w:rsidRPr="00B81274">
          <w:rPr>
            <w:rStyle w:val="Hyperlink"/>
          </w:rPr>
          <w:t>Instructions</w:t>
        </w:r>
      </w:hyperlink>
    </w:p>
    <w:p w14:paraId="4B96651B" w14:textId="1E97FE96" w:rsidR="007379D6" w:rsidRDefault="007379D6" w:rsidP="00BA6848">
      <w:pPr>
        <w:pStyle w:val="ListParagraph"/>
        <w:numPr>
          <w:ilvl w:val="0"/>
          <w:numId w:val="1"/>
        </w:numPr>
      </w:pPr>
      <w:r>
        <w:t>Total of 4,500 words (12 pages)</w:t>
      </w:r>
    </w:p>
    <w:p w14:paraId="480E9251" w14:textId="6D1D1257" w:rsidR="005A0215" w:rsidRDefault="005A0215" w:rsidP="00BA6848">
      <w:pPr>
        <w:pStyle w:val="ListParagraph"/>
        <w:numPr>
          <w:ilvl w:val="0"/>
          <w:numId w:val="1"/>
        </w:numPr>
      </w:pPr>
      <w:r>
        <w:t>Style according to Council of Science Editors / Scientific Style and Format 7</w:t>
      </w:r>
      <w:r w:rsidRPr="005A0215">
        <w:rPr>
          <w:vertAlign w:val="superscript"/>
        </w:rPr>
        <w:t>th</w:t>
      </w:r>
      <w:r>
        <w:t xml:space="preserve"> ed.</w:t>
      </w:r>
    </w:p>
    <w:p w14:paraId="2E834463" w14:textId="28D62BA2" w:rsidR="005A0215" w:rsidRDefault="005A0215" w:rsidP="00BA6848">
      <w:pPr>
        <w:pStyle w:val="ListParagraph"/>
        <w:numPr>
          <w:ilvl w:val="0"/>
          <w:numId w:val="1"/>
        </w:numPr>
      </w:pPr>
      <w:r>
        <w:t>Figure guidelines:</w:t>
      </w:r>
    </w:p>
    <w:p w14:paraId="48FA420E" w14:textId="7174F260" w:rsidR="005A0215" w:rsidRDefault="005A0215" w:rsidP="00BA6848">
      <w:pPr>
        <w:pStyle w:val="ListParagraph"/>
        <w:numPr>
          <w:ilvl w:val="1"/>
          <w:numId w:val="1"/>
        </w:numPr>
      </w:pPr>
      <w:r>
        <w:t>600 dpi for line figures, 300dpi for color figures</w:t>
      </w:r>
    </w:p>
    <w:p w14:paraId="67F30789" w14:textId="7A9DE667" w:rsidR="005A0215" w:rsidRPr="00966D4A" w:rsidRDefault="005A0215" w:rsidP="00BA6848">
      <w:pPr>
        <w:pStyle w:val="ListParagraph"/>
        <w:numPr>
          <w:ilvl w:val="1"/>
          <w:numId w:val="1"/>
        </w:numPr>
      </w:pPr>
      <w:r>
        <w:t>88mm single columns, 180mm double column</w:t>
      </w:r>
    </w:p>
    <w:p w14:paraId="63B19B4B" w14:textId="65776559" w:rsidR="007379D6" w:rsidRDefault="007379D6" w:rsidP="00BA6848">
      <w:pPr>
        <w:pStyle w:val="Heading1"/>
      </w:pPr>
      <w:r>
        <w:t>Abstract (</w:t>
      </w:r>
      <w:r w:rsidR="00FB1889">
        <w:t xml:space="preserve">limit: </w:t>
      </w:r>
      <w:r>
        <w:t>400 words)</w:t>
      </w:r>
    </w:p>
    <w:p w14:paraId="17ABE4C2" w14:textId="0BE33321" w:rsidR="002F7717" w:rsidRPr="00BB27D1" w:rsidRDefault="0056398D" w:rsidP="00BA6848">
      <w:r>
        <w:t>A gene’s response to an environment is tightly bound the underlying genetic variation present in an individual’s genome</w:t>
      </w:r>
      <w:r w:rsidR="002F7717">
        <w:t xml:space="preserve"> and varies greatly depending on the context of the tissue it is being expressed in. Gene co-expression networks provide a mechanism to understand and interpret genes’ transcriptional response to stimuli. Here, we use the Camoco co-expression network framework to characterize the transcriptional landscape of adipose and gluteal muscle issue in the 85 domestic horses (</w:t>
      </w:r>
      <w:r w:rsidR="002F7717" w:rsidRPr="002F7717">
        <w:rPr>
          <w:i/>
          <w:iCs/>
        </w:rPr>
        <w:t xml:space="preserve">Equus </w:t>
      </w:r>
      <w:proofErr w:type="spellStart"/>
      <w:r w:rsidR="002F7717" w:rsidRPr="002F7717">
        <w:rPr>
          <w:i/>
          <w:iCs/>
        </w:rPr>
        <w:t>caballus</w:t>
      </w:r>
      <w:proofErr w:type="spellEnd"/>
      <w:r w:rsidR="002F7717">
        <w:t xml:space="preserve">) representing 5 different breeds. In each tissue, gene expression profiles, capturing transcriptional response due to genetic </w:t>
      </w:r>
      <w:r w:rsidR="002F7717">
        <w:lastRenderedPageBreak/>
        <w:t>variation across individuals, were used to build two separate, tissue-focused, genotypically-diverse gene co-expression networks. The functional contexts of each network were quantified using complementary approaches. First, supervised, ontological enrichment was utilized to quantify biological function represented by each network. Curated ontologies such as GO as well as KEGG were used to both measure the amount of previously known levels of biological function present in each tissue. To complement this, an un-supervised approach not relying on annotations was employed. Strongly co-expressed sets of genes defined by Markov clustering identified sets of unannotated genes showing tissue specific patterns of co-</w:t>
      </w:r>
      <w:bookmarkStart w:id="0" w:name="_GoBack"/>
      <w:bookmarkEnd w:id="0"/>
      <w:r w:rsidR="002F7717">
        <w:t>expression. In both supervised and unsupervised approaches, we report similarities and differences in patterns of gene co-expression in each tissue context. Coupling together these wide-reaching transcriptional datasets with our network analysis tool, Camoco, we mapped the transcriptional landscape of muscle and adipose setting up a generalizable functional framework for interpreting gene function</w:t>
      </w:r>
      <w:r w:rsidR="00384EAF">
        <w:t>al contexts</w:t>
      </w:r>
      <w:r w:rsidR="002F7717">
        <w:t xml:space="preserve"> in the horses as well as for additional tissues and use in other species.</w:t>
      </w:r>
    </w:p>
    <w:p w14:paraId="43B83707" w14:textId="10AF75EE" w:rsidR="006B2FA2" w:rsidRDefault="007379D6" w:rsidP="00BA6848">
      <w:pPr>
        <w:pStyle w:val="Heading1"/>
      </w:pPr>
      <w:commentRangeStart w:id="1"/>
      <w:r>
        <w:t>Introduction</w:t>
      </w:r>
      <w:commentRangeEnd w:id="1"/>
      <w:r w:rsidR="004960C0">
        <w:rPr>
          <w:rStyle w:val="CommentReference"/>
          <w:rFonts w:ascii="Times New Roman" w:eastAsiaTheme="minorHAnsi" w:hAnsi="Times New Roman" w:cs="Times New Roman"/>
          <w:color w:val="auto"/>
        </w:rPr>
        <w:commentReference w:id="1"/>
      </w:r>
    </w:p>
    <w:p w14:paraId="40922138" w14:textId="217C76F6" w:rsidR="0099584B" w:rsidRDefault="0099584B" w:rsidP="00BA6848">
      <w:r>
        <w:t>Despite high quality, sequenced genomes, functional gene annotations in many</w:t>
      </w:r>
      <w:r w:rsidR="00A41FBB">
        <w:t xml:space="preserve"> domestic and</w:t>
      </w:r>
      <w:r>
        <w:t xml:space="preserve"> agricultural animal species remain limited. However, advances in sequencing technologies is bridging the gap in understanding the</w:t>
      </w:r>
      <w:r w:rsidR="00A41FBB">
        <w:t xml:space="preserve"> functional role of genes and their</w:t>
      </w:r>
      <w:r>
        <w:t xml:space="preserve"> relationship between genotype and phenotype.</w:t>
      </w:r>
      <w:r w:rsidR="001B4FBD">
        <w:t xml:space="preserve"> High-throughput</w:t>
      </w:r>
      <w:r w:rsidRPr="0099584B">
        <w:t xml:space="preserve"> sequencing techniques, such as RNA-Seq, enable the measurement of gene expression across diverse environmental conditions, developmental time points or different tissues and organs</w:t>
      </w:r>
      <w:r>
        <w:t xml:space="preserve">. </w:t>
      </w:r>
      <w:r w:rsidRPr="00BA6848">
        <w:t xml:space="preserve">Gene co-expression quantifies the correlation of transcription among sets of genes across experimental conditions and provides a holistic view into genes’ involvement in biological processes </w:t>
      </w:r>
      <w:r w:rsidRPr="00BA6848">
        <w:fldChar w:fldCharType="begin" w:fldLock="1"/>
      </w:r>
      <w:r w:rsidRPr="00BA6848">
        <w:instrText>ADDIN CSL_CITATION {"citationItems":[{"id":"ITEM-1","itemData":{"DOI":"10.1073/pnas.95.25.14863","ISBN":"0027-8424 (Print)\\r0027-8424 (Linking)","ISSN":"0027-8424","PMID":"9843981","abstract":"A system of cluster analysis for genome-wide expression data from DNA microarray hybridization is described that uses standard statistical algorithms to arrange genes according to similarity in pattern of gene expression. The output is displayed graphically, conveying the clustering and the underlying expression data simultaneously in a form intuitive for biologists. We have found in the budding yeast Saccharomyces cerevisiae that clustering gene expression data groups together efficiently genes of known similar function, and we find a similar tendency in human data. Thus patterns seen in genome-wide expression experiments can be interpreted as indications of the status of cellular processes. Also, coexpression of genes of known function with poorly characterized or novel genes may provide a simple means of gaining leads to the functions of many genes for which information is not available currently.","author":[{"dropping-particle":"","family":"Eisen","given":"M B","non-dropping-particle":"","parse-names":false,"suffix":""},{"dropping-particle":"","family":"Spellman","given":"P T","non-dropping-particle":"","parse-names":false,"suffix":""},{"dropping-particle":"","family":"Brown","given":"P O","non-dropping-particle":"","parse-names":false,"suffix":""},{"dropping-particle":"","family":"Botstein","given":"D","non-dropping-particle":"","parse-names":false,"suffix":""}],"container-title":"Proceedings of the National Academy of Sciences","id":"ITEM-1","issue":"25","issued":{"date-parts":[["1998","12","8"]]},"page":"14863-14868","title":"Cluster analysis and display of genome-wide expression patterns","type":"article-journal","volume":"95"},"uris":["http://www.mendeley.com/documents/?uuid=c73afa8b-2566-47d1-8db3-d217883aae95"]}],"mendeley":{"formattedCitation":"(Eisen et al. 1998)","plainTextFormattedCitation":"(Eisen et al. 1998)","previouslyFormattedCitation":"(Eisen et al. 1998)"},"properties":{"noteIndex":0},"schema":"https://github.com/citation-style-language/schema/raw/master/csl-citation.json"}</w:instrText>
      </w:r>
      <w:r w:rsidRPr="00BA6848">
        <w:fldChar w:fldCharType="separate"/>
      </w:r>
      <w:r w:rsidRPr="00BA6848">
        <w:rPr>
          <w:noProof/>
        </w:rPr>
        <w:t>(Eisen et al. 1998)</w:t>
      </w:r>
      <w:r w:rsidRPr="00BA6848">
        <w:fldChar w:fldCharType="end"/>
      </w:r>
      <w:r w:rsidRPr="00BA6848">
        <w:t>.</w:t>
      </w:r>
      <w:r w:rsidR="001B4FBD">
        <w:t xml:space="preserve"> </w:t>
      </w:r>
      <w:r w:rsidRPr="0099584B">
        <w:t>These data can help establish an unbiased context for what a gene putatively does and where it is expressed, given no other functional information about it. Surveying transcription across a large number of diverse experiments establishes an expression profile for each gene, which can be exhaustively compared, pairwise, to one another in order to uncover putative interactions.</w:t>
      </w:r>
    </w:p>
    <w:p w14:paraId="60A43464" w14:textId="15CF4711" w:rsidR="001056C7" w:rsidRDefault="0099584B" w:rsidP="00BA6848">
      <w:r>
        <w:lastRenderedPageBreak/>
        <w:t xml:space="preserve">Collectively, co-expression relationships between pairs of genes represent a larger biological network where nodes represent genes and edges represent the magnitude of co-expression among them. Once represented as a network, topological and structural information shows that these biological networks share well define organization properties described with network theory. </w:t>
      </w:r>
      <w:r w:rsidRPr="0099584B">
        <w:t>This fundamental structure allows for a transfer of knowledge from decades of previous research in non-biological systems to gene co-expression networks which are rapidly being built in agricultural species.</w:t>
      </w:r>
    </w:p>
    <w:p w14:paraId="3066C05A" w14:textId="303076CD" w:rsidR="008A31A1" w:rsidRPr="00BA6848" w:rsidRDefault="00F869CF" w:rsidP="00BA6848">
      <w:r w:rsidRPr="00BA6848">
        <w:t xml:space="preserve">The source of variance in the experimental condition provides a functional context to the co-expression profiles. For instance, on a cellular level, co-expression over time has been utilized to map the transcriptional response during the cell cycle in yeast </w:t>
      </w:r>
      <w:r w:rsidRPr="00BA6848">
        <w:fldChar w:fldCharType="begin" w:fldLock="1"/>
      </w:r>
      <w:r w:rsidR="00D810CB">
        <w:instrText>ADDIN CSL_CITATION {"citationItems":[{"id":"ITEM-1","itemData":{"ISSN":"1059-1524","PMID":"9843569","abstract":"We sought to create a comprehensive catalog of yeast genes whose transcript levels vary periodically within the cell cycle. To this end, we used DNA microarrays and samples from yeast cultures synchronized by three independent methods: alpha factor arrest, elutriation, and arrest of a cdc15 temperature-sensitive mutant. Using periodicity and correlation algorithms, we identified 800 genes that meet an objective minimum criterion for cell cycle regulation. In separate experiments, designed to examine the effects of inducing either the G1 cyclin Cln3p or the B-type cyclin Clb2p, we found that the mRNA levels of more than half of these 800 genes respond to one or both of these cyclins. Furthermore, we analyzed our set of cell cycle-regulated genes for known and new promoter elements and show that several known elements (or variations thereof) contain information predictive of cell cycle regulation. A full description and complete data sets are available at http://cellcycle-www.stanford.edu","author":[{"dropping-particle":"","family":"Spellman","given":"P T","non-dropping-particle":"","parse-names":false,"suffix":""},{"dropping-particle":"","family":"Sherlock","given":"G","non-dropping-particle":"","parse-names":false,"suffix":""},{"dropping-particle":"","family":"Zhang","given":"M Q","non-dropping-particle":"","parse-names":false,"suffix":""},{"dropping-particle":"","family":"Iyer","given":"V R","non-dropping-particle":"","parse-names":false,"suffix":""},{"dropping-particle":"","family":"Anders","given":"K","non-dropping-particle":"","parse-names":false,"suffix":""},{"dropping-particle":"","family":"Eisen","given":"M B","non-dropping-particle":"","parse-names":false,"suffix":""},{"dropping-particle":"","family":"Brown","given":"P O","non-dropping-particle":"","parse-names":false,"suffix":""},{"dropping-particle":"","family":"Botstein","given":"D","non-dropping-particle":"","parse-names":false,"suffix":""},{"dropping-particle":"","family":"Futcher","given":"B","non-dropping-particle":"","parse-names":false,"suffix":""}],"container-title":"Molecular biology of the cell","id":"ITEM-1","issue":"12","issued":{"date-parts":[["1998","12"]]},"page":"3273-97","title":"Comprehensive identification of cell cycle-regulated genes of the yeast Saccharomyces cerevisiae by microarray hybridization.","type":"article-journal","volume":"9"},"uris":["http://www.mendeley.com/documents/?uuid=a3516c46-b82b-4eb8-b3f7-91e798719533"]}],"mendeley":{"formattedCitation":"(Spellman et al. 1998)","plainTextFormattedCitation":"(Spellman et al. 1998)","previouslyFormattedCitation":"(Spellman et al. 1998)"},"properties":{"noteIndex":0},"schema":"https://github.com/citation-style-language/schema/raw/master/csl-citation.json"}</w:instrText>
      </w:r>
      <w:r w:rsidRPr="00BA6848">
        <w:fldChar w:fldCharType="separate"/>
      </w:r>
      <w:r w:rsidRPr="00BA6848">
        <w:rPr>
          <w:noProof/>
        </w:rPr>
        <w:t>(Spellman et al. 1998)</w:t>
      </w:r>
      <w:r w:rsidRPr="00BA6848">
        <w:fldChar w:fldCharType="end"/>
      </w:r>
      <w:r w:rsidRPr="00BA6848">
        <w:t xml:space="preserve">. </w:t>
      </w:r>
      <w:r w:rsidR="001056C7">
        <w:t>However, e</w:t>
      </w:r>
      <w:r w:rsidRPr="00BA6848">
        <w:t>xperimental conditions of co-expression aren’t limited to time-course experiments</w:t>
      </w:r>
      <w:r w:rsidR="008A31A1" w:rsidRPr="00BA6848">
        <w:t>. Co-expression contexts can be measured by introducing expression variation stemming from a variety of sources, including different environmental conditions, developmental and tissue/organ based variation, and variation due to genetic background and populations of individuals.</w:t>
      </w:r>
    </w:p>
    <w:p w14:paraId="1AB90338" w14:textId="77777777" w:rsidR="008A31A1" w:rsidRDefault="008A31A1" w:rsidP="00BA6848"/>
    <w:p w14:paraId="5CBA8F43" w14:textId="31418FD6" w:rsidR="00F869CF" w:rsidRDefault="00F869CF" w:rsidP="00BA6848">
      <w:r>
        <w:t xml:space="preserve">In multicellular organisms, patterns of gene expression provide a functional context of genes’ roles in different tissues and developmental timepoints, commonly called tissue atlases. Additionally, differences in genetic background lead to differences in gene expression, where gene expression can quantify </w:t>
      </w:r>
    </w:p>
    <w:p w14:paraId="13B14CBB" w14:textId="77777777" w:rsidR="00F869CF" w:rsidRDefault="00F869CF" w:rsidP="00BA6848"/>
    <w:p w14:paraId="1C2B2A08" w14:textId="4E3C4CA5" w:rsidR="00400679" w:rsidRDefault="00400679" w:rsidP="00BA6848">
      <w:r>
        <w:t xml:space="preserve">On the cellular level, gene co-expression has been shown </w:t>
      </w:r>
    </w:p>
    <w:p w14:paraId="01C19343" w14:textId="77777777" w:rsidR="00400679" w:rsidRDefault="00400679" w:rsidP="00BA6848"/>
    <w:p w14:paraId="61C1221B" w14:textId="77777777" w:rsidR="00AC00C0" w:rsidRDefault="00AC00C0" w:rsidP="00BA6848">
      <w:r>
        <w:t xml:space="preserve">Co-expression networks </w:t>
      </w:r>
      <w:r w:rsidR="00A26890">
        <w:t>represent</w:t>
      </w:r>
      <w:r>
        <w:t xml:space="preserve"> relationships among</w:t>
      </w:r>
      <w:r w:rsidR="00A26890">
        <w:t xml:space="preserve"> gene</w:t>
      </w:r>
      <w:r>
        <w:t xml:space="preserve">s based on the similarity of their gene expression response across an experimental condition. </w:t>
      </w:r>
    </w:p>
    <w:p w14:paraId="54A7BBAC" w14:textId="26785FC5" w:rsidR="00FE70BD" w:rsidRDefault="00AC00C0" w:rsidP="00BA6848">
      <w:r>
        <w:lastRenderedPageBreak/>
        <w:t>C</w:t>
      </w:r>
      <w:r w:rsidR="00A26890">
        <w:t>o-expression on a genome wide level is through co-expression networks</w:t>
      </w:r>
      <w:r w:rsidR="00FE70BD">
        <w:t xml:space="preserve"> where nodes in the network represent genes and edges between nodes represents the level of co-expression between them. Gene co-expression networks have been extensively used to map the transcriptional landscape in many species and is a useful tool for inferring biological function when little else is known about a gene.</w:t>
      </w:r>
      <w:r w:rsidR="00A90893">
        <w:t xml:space="preserve"> Gene co-expression networks provide a framework to quantify the similarities as well as differences in the transcriptional landscape of gene expression.</w:t>
      </w:r>
    </w:p>
    <w:p w14:paraId="411202EE" w14:textId="5BA611CB" w:rsidR="00214CCD" w:rsidRPr="00214CCD" w:rsidRDefault="00FE70BD" w:rsidP="00BA6848">
      <w:r>
        <w:t>As the interactions in a gene co-expression network is a product of the variance introduced by the experimental conditions, the interactions in a gene co-expression network varies greatly based on the condition in which it is measured. Additionally, t</w:t>
      </w:r>
      <w:r w:rsidR="00214CCD">
        <w:t xml:space="preserve">he variation of response in gene expression is tightly bound to the genetic context where transcription occurs, including the genetic background of the individual as well as the cellular context of the tissue where response occurs. </w:t>
      </w:r>
    </w:p>
    <w:p w14:paraId="1164086F" w14:textId="0E331D41" w:rsidR="007379D6" w:rsidRDefault="007379D6" w:rsidP="00BA6848">
      <w:pPr>
        <w:pStyle w:val="Heading1"/>
      </w:pPr>
      <w:r>
        <w:t>Results</w:t>
      </w:r>
    </w:p>
    <w:p w14:paraId="26FC548E" w14:textId="09A43FE7" w:rsidR="009F041C" w:rsidRDefault="009F041C" w:rsidP="00BA6848">
      <w:pPr>
        <w:pStyle w:val="Heading2"/>
      </w:pPr>
      <w:r>
        <w:t>Constructing tissue specific gene co-expression networks</w:t>
      </w:r>
    </w:p>
    <w:p w14:paraId="4DE10682" w14:textId="26605F04" w:rsidR="006B2FA2" w:rsidRDefault="006B2FA2" w:rsidP="00BA6848">
      <w:r w:rsidRPr="00982EF4">
        <w:t>RNA-seq (</w:t>
      </w:r>
      <w:proofErr w:type="spellStart"/>
      <w:r w:rsidRPr="00982EF4">
        <w:t>novaseq</w:t>
      </w:r>
      <w:proofErr w:type="spellEnd"/>
      <w:r w:rsidRPr="00982EF4">
        <w:t>) was used to transcriptionally profile 8</w:t>
      </w:r>
      <w:r w:rsidR="00AF66D3">
        <w:t>3</w:t>
      </w:r>
      <w:r w:rsidRPr="00982EF4">
        <w:t xml:space="preserve"> horses in both </w:t>
      </w:r>
      <w:r w:rsidR="00FA3A83">
        <w:t>gluteal</w:t>
      </w:r>
      <w:r w:rsidRPr="00982EF4">
        <w:t xml:space="preserve"> muscle and</w:t>
      </w:r>
      <w:r w:rsidR="00FA3A83">
        <w:t xml:space="preserve"> </w:t>
      </w:r>
      <w:r w:rsidR="00462691">
        <w:t xml:space="preserve">tailhead </w:t>
      </w:r>
      <w:r w:rsidR="00462691" w:rsidRPr="00982EF4">
        <w:t>adipose</w:t>
      </w:r>
      <w:r w:rsidRPr="00982EF4">
        <w:t xml:space="preserve"> </w:t>
      </w:r>
      <w:r w:rsidR="00FA3A83">
        <w:t>tissue (TAT)</w:t>
      </w:r>
      <w:r w:rsidR="00F15F9E">
        <w:t xml:space="preserve"> in</w:t>
      </w:r>
      <w:r w:rsidR="00FA3A83">
        <w:t xml:space="preserve"> </w:t>
      </w:r>
      <w:r w:rsidR="00F15F9E">
        <w:t>f</w:t>
      </w:r>
      <w:r w:rsidR="00AF66D3">
        <w:t>ive</w:t>
      </w:r>
      <w:r w:rsidR="00FA3A83">
        <w:t xml:space="preserve"> different breeds: Quarter Horse</w:t>
      </w:r>
      <w:r w:rsidR="00AF66D3">
        <w:t xml:space="preserve"> (n=20)</w:t>
      </w:r>
      <w:r w:rsidR="00FA3A83">
        <w:t>, Morgan</w:t>
      </w:r>
      <w:r w:rsidR="00AF66D3">
        <w:t xml:space="preserve"> (n=20)</w:t>
      </w:r>
      <w:r w:rsidR="00FA3A83">
        <w:t>,</w:t>
      </w:r>
      <w:r w:rsidR="005F56F7">
        <w:t xml:space="preserve"> </w:t>
      </w:r>
      <w:proofErr w:type="spellStart"/>
      <w:r w:rsidR="005F56F7">
        <w:t>Welsch</w:t>
      </w:r>
      <w:proofErr w:type="spellEnd"/>
      <w:r w:rsidR="005F56F7">
        <w:t xml:space="preserve"> Pony</w:t>
      </w:r>
      <w:r w:rsidR="00AF66D3">
        <w:t xml:space="preserve"> (n=18),</w:t>
      </w:r>
      <w:r w:rsidR="005F56F7">
        <w:t xml:space="preserve"> Arabian</w:t>
      </w:r>
      <w:r w:rsidR="00AF66D3">
        <w:t xml:space="preserve"> (n=19</w:t>
      </w:r>
      <w:r w:rsidR="005F56F7">
        <w:t>)</w:t>
      </w:r>
      <w:r w:rsidR="00AF66D3">
        <w:t>, and Thoroughbred (n=6)</w:t>
      </w:r>
      <w:r w:rsidR="005E6841">
        <w:t xml:space="preserve"> (</w:t>
      </w:r>
      <w:r w:rsidR="005E6841">
        <w:fldChar w:fldCharType="begin"/>
      </w:r>
      <w:r w:rsidR="005E6841">
        <w:instrText xml:space="preserve"> REF _Ref33021349 \h </w:instrText>
      </w:r>
      <w:r w:rsidR="005E6841">
        <w:fldChar w:fldCharType="separate"/>
      </w:r>
      <w:r w:rsidR="005E6841">
        <w:t>Supp. Table 1</w:t>
      </w:r>
      <w:r w:rsidR="005E6841">
        <w:fldChar w:fldCharType="end"/>
      </w:r>
      <w:r w:rsidR="005E6841">
        <w:t>)</w:t>
      </w:r>
      <w:r w:rsidR="005F56F7">
        <w:t>.</w:t>
      </w:r>
      <w:r w:rsidRPr="00982EF4">
        <w:t xml:space="preserve"> Quality control during </w:t>
      </w:r>
      <w:r w:rsidR="00593783">
        <w:t xml:space="preserve">RNA </w:t>
      </w:r>
      <w:r w:rsidRPr="00982EF4">
        <w:t xml:space="preserve">library prep resulted in </w:t>
      </w:r>
      <w:r w:rsidR="00593783">
        <w:t>s</w:t>
      </w:r>
      <w:r w:rsidRPr="00982EF4">
        <w:t>lightly imbalanced sample numbers between muscle and adipose</w:t>
      </w:r>
      <w:r w:rsidR="00593783">
        <w:t>,</w:t>
      </w:r>
      <w:r w:rsidRPr="00982EF4">
        <w:t xml:space="preserve"> yielding </w:t>
      </w:r>
      <w:r w:rsidR="00A93E72">
        <w:t>79</w:t>
      </w:r>
      <w:r w:rsidRPr="00982EF4">
        <w:t xml:space="preserve"> horses with muscle data, </w:t>
      </w:r>
      <w:r w:rsidR="00A93E72">
        <w:t>63</w:t>
      </w:r>
      <w:r w:rsidRPr="00982EF4">
        <w:t xml:space="preserve"> horses with adipose data, and </w:t>
      </w:r>
      <w:r w:rsidR="00A93E72">
        <w:t>59</w:t>
      </w:r>
      <w:r w:rsidRPr="00982EF4">
        <w:t xml:space="preserve"> horses with RNA-seq data in both adipose and muscle</w:t>
      </w:r>
      <w:r w:rsidR="00FC4D54">
        <w:t xml:space="preserve"> (</w:t>
      </w:r>
      <w:r w:rsidR="009319FF">
        <w:fldChar w:fldCharType="begin"/>
      </w:r>
      <w:r w:rsidR="009319FF">
        <w:instrText xml:space="preserve"> REF _Ref32833816 \h </w:instrText>
      </w:r>
      <w:r w:rsidR="009319FF">
        <w:fldChar w:fldCharType="separate"/>
      </w:r>
      <w:r w:rsidR="009319FF">
        <w:t>Table 1</w:t>
      </w:r>
      <w:r w:rsidR="009319FF">
        <w:fldChar w:fldCharType="end"/>
      </w:r>
      <w:r w:rsidR="00FC4D54">
        <w:t>)</w:t>
      </w:r>
      <w:r w:rsidRPr="00982EF4">
        <w:t>.</w:t>
      </w:r>
      <w:r w:rsidR="00A93E72">
        <w:t xml:space="preserve"> </w:t>
      </w:r>
    </w:p>
    <w:p w14:paraId="7666D258" w14:textId="4F2DFE5D" w:rsidR="00E5297F" w:rsidRDefault="004B7231" w:rsidP="00BA6848">
      <w:r>
        <w:t xml:space="preserve">Gene counts were </w:t>
      </w:r>
      <w:r w:rsidR="00E5297F">
        <w:t>quantified</w:t>
      </w:r>
      <w:r>
        <w:t xml:space="preserve"> for both muscle</w:t>
      </w:r>
      <w:r w:rsidR="005E6841">
        <w:t xml:space="preserve"> (</w:t>
      </w:r>
      <w:r w:rsidR="005E6841">
        <w:fldChar w:fldCharType="begin"/>
      </w:r>
      <w:r w:rsidR="005E6841">
        <w:instrText xml:space="preserve"> REF _Ref33021274 \h </w:instrText>
      </w:r>
      <w:r w:rsidR="005E6841">
        <w:fldChar w:fldCharType="separate"/>
      </w:r>
      <w:r w:rsidR="005E6841">
        <w:t>Supp. Table 2</w:t>
      </w:r>
      <w:r w:rsidR="005E6841">
        <w:fldChar w:fldCharType="end"/>
      </w:r>
      <w:r w:rsidR="005E6841">
        <w:t>)</w:t>
      </w:r>
      <w:r>
        <w:t xml:space="preserve"> and adipose</w:t>
      </w:r>
      <w:r w:rsidR="005E6841">
        <w:t xml:space="preserve"> (</w:t>
      </w:r>
      <w:r w:rsidR="005E6841">
        <w:fldChar w:fldCharType="begin"/>
      </w:r>
      <w:r w:rsidR="005E6841">
        <w:instrText xml:space="preserve"> REF _Ref33021328 \h </w:instrText>
      </w:r>
      <w:r w:rsidR="005E6841">
        <w:fldChar w:fldCharType="separate"/>
      </w:r>
      <w:r w:rsidR="005E6841">
        <w:t>Supp. Table 3</w:t>
      </w:r>
      <w:r w:rsidR="005E6841">
        <w:fldChar w:fldCharType="end"/>
      </w:r>
      <w:r w:rsidR="005E6841">
        <w:t>)</w:t>
      </w:r>
      <w:r>
        <w:t xml:space="preserve"> datasets</w:t>
      </w:r>
      <w:r w:rsidR="00E5297F">
        <w:t xml:space="preserve"> and converted into Transcript Per Kilobase Million (TPM) matrices quantifying tissue specific variation in gene expression across genotypically diverse individuals</w:t>
      </w:r>
      <w:r w:rsidR="00924AD0">
        <w:t xml:space="preserve"> (See </w:t>
      </w:r>
      <w:r w:rsidR="00C30BBF">
        <w:fldChar w:fldCharType="begin"/>
      </w:r>
      <w:r w:rsidR="00C30BBF">
        <w:instrText xml:space="preserve"> REF _Ref32829849 \h </w:instrText>
      </w:r>
      <w:r w:rsidR="00C30BBF">
        <w:fldChar w:fldCharType="separate"/>
      </w:r>
      <w:r w:rsidR="00C30BBF">
        <w:t>Materials and Methods</w:t>
      </w:r>
      <w:r w:rsidR="00C30BBF">
        <w:fldChar w:fldCharType="end"/>
      </w:r>
      <w:r w:rsidR="00924AD0">
        <w:t xml:space="preserve"> for details)</w:t>
      </w:r>
      <w:r>
        <w:t>.</w:t>
      </w:r>
      <w:r w:rsidR="00695077">
        <w:t xml:space="preserve"> From these expression matrices, two g</w:t>
      </w:r>
      <w:r w:rsidR="00E5297F">
        <w:t>ene co-expression networks were generated</w:t>
      </w:r>
      <w:r w:rsidR="00F15F9E">
        <w:t xml:space="preserve"> using Camoco</w:t>
      </w:r>
      <w:r w:rsidR="009F45A3">
        <w:t xml:space="preserve"> </w:t>
      </w:r>
      <w:r w:rsidR="009F45A3">
        <w:fldChar w:fldCharType="begin" w:fldLock="1"/>
      </w:r>
      <w:r w:rsidR="009F45A3">
        <w:instrText>ADDIN CSL_CITATION {"citationItems":[{"id":"ITEM-1","itemData":{"DOI":"10.1105/tpc.18.00299","ISBN":"0000000344272","ISSN":"1532298X","PMID":"30413654","abstract":"Genome-wide association studies (GWAS) have identified loci linked to hundreds of traits in many different species. Yet, because linkage equilibrium implicates a broad region surrounding each identified locus, the causal genes often remain unknown. This problem is especially pronounced in nonhuman, nonmodel species, where functional annotations are sparse and there is frequently little information available for prioritizing candidate genes. We developed a computational approach, Camoco, that integrates loci identified by GWAS with functional information derived from gene coexpression networks. Using Camoco, we prioritized candidate genes from a large-scale GWAS examining the accumulation of 17 different elements in maize (Zea mays) seeds. Strikingly, we observed a strong dependence in the performance of our approach based on the type of coexpression network used: expression variation across genetically diverse individuals in a relevant tissue context (in our case, roots that are the primary elemental uptake and delivery system) outperformed other alternative networks. Two candidate genes identified by our approach were validated using mutants. Our study demonstrates that coexpression networks provide a powerful basis for prioritizing candidate causal genes from GWAS loci but suggests that the success of such strategies can highly depend on the gene expression data context. Both the software and the lessons on integrating GWAS data with coexpression networks generalize to species beyond maize.","author":[{"dropping-particle":"","family":"Schaefer","given":"Robert J.","non-dropping-particle":"","parse-names":false,"suffix":""},{"dropping-particle":"","family":"Michno","given":"Jean Michel","non-dropping-particle":"","parse-names":false,"suffix":""},{"dropping-particle":"","family":"Jeffers","given":"Joseph","non-dropping-particle":"","parse-names":false,"suffix":""},{"dropping-particle":"","family":"Hoekenga","given":"Owen","non-dropping-particle":"","parse-names":false,"suffix":""},{"dropping-particle":"","family":"Dilkes","given":"Brian","non-dropping-particle":"","parse-names":false,"suffix":""},{"dropping-particle":"","family":"Baxter","given":"Ivan","non-dropping-particle":"","parse-names":false,"suffix":""},{"dropping-particle":"","family":"Myersc","given":"Chad L.","non-dropping-particle":"","parse-names":false,"suffix":""}],"container-title":"Plant Cell","id":"ITEM-1","issue":"12","issued":{"date-parts":[["2018"]]},"page":"2922-2942","title":"Integrating coexpression networks with GWAS to prioritize causal genes in maize","type":"article-journal","volume":"30"},"uris":["http://www.mendeley.com/documents/?uuid=af2f34d5-5051-4c7d-97f8-088e0597f5b0"]}],"mendeley":{"formattedCitation":"(Schaefer et al. 2018)","plainTextFormattedCitation":"(Schaefer et al. 2018)","previouslyFormattedCitation":"(Schaefer et al. 2018)"},"properties":{"noteIndex":0},"schema":"https://github.com/citation-style-language/schema/raw/master/csl-citation.json"}</w:instrText>
      </w:r>
      <w:r w:rsidR="009F45A3">
        <w:fldChar w:fldCharType="separate"/>
      </w:r>
      <w:r w:rsidR="009F45A3" w:rsidRPr="00B55650">
        <w:rPr>
          <w:noProof/>
        </w:rPr>
        <w:t>(Schaefer et al. 2018)</w:t>
      </w:r>
      <w:r w:rsidR="009F45A3">
        <w:fldChar w:fldCharType="end"/>
      </w:r>
      <w:r w:rsidR="00D810CB">
        <w:t>, one</w:t>
      </w:r>
      <w:r w:rsidR="00E5297F">
        <w:t xml:space="preserve"> </w:t>
      </w:r>
      <w:r w:rsidR="00695077">
        <w:t>representing</w:t>
      </w:r>
      <w:r w:rsidR="00E5297F">
        <w:t xml:space="preserve"> muscle and</w:t>
      </w:r>
      <w:r w:rsidR="00D810CB">
        <w:t xml:space="preserve"> the other representing</w:t>
      </w:r>
      <w:r w:rsidR="00E5297F">
        <w:t xml:space="preserve"> adipose </w:t>
      </w:r>
      <w:r w:rsidR="00F15F9E">
        <w:t>(EcMuscle and EcAdipose, respectively, hereafter)</w:t>
      </w:r>
      <w:r w:rsidR="00E5297F">
        <w:t>.</w:t>
      </w:r>
    </w:p>
    <w:p w14:paraId="6CE85EF9" w14:textId="4D35575C" w:rsidR="00083F0E" w:rsidRDefault="008253C9" w:rsidP="00BA6848">
      <w:r>
        <w:lastRenderedPageBreak/>
        <w:t xml:space="preserve">After </w:t>
      </w:r>
      <w:r w:rsidR="00454E9F">
        <w:t xml:space="preserve">network </w:t>
      </w:r>
      <w:r>
        <w:t xml:space="preserve">quality control filtering </w:t>
      </w:r>
      <w:r w:rsidR="00F15F9E">
        <w:t>(See</w:t>
      </w:r>
      <w:r w:rsidR="00F0689E">
        <w:t xml:space="preserve"> </w:t>
      </w:r>
      <w:r w:rsidR="00F0689E">
        <w:fldChar w:fldCharType="begin"/>
      </w:r>
      <w:r w:rsidR="00F0689E">
        <w:instrText xml:space="preserve"> REF _Ref32829849 \h </w:instrText>
      </w:r>
      <w:r w:rsidR="00F0689E">
        <w:fldChar w:fldCharType="separate"/>
      </w:r>
      <w:r w:rsidR="00F0689E">
        <w:t>Materials and Methods</w:t>
      </w:r>
      <w:r w:rsidR="00F0689E">
        <w:fldChar w:fldCharType="end"/>
      </w:r>
      <w:r w:rsidR="00F15F9E">
        <w:t>)</w:t>
      </w:r>
      <w:r>
        <w:t xml:space="preserve"> t</w:t>
      </w:r>
      <w:r w:rsidR="006B2FA2">
        <w:t xml:space="preserve">he </w:t>
      </w:r>
      <w:r w:rsidR="00F15F9E">
        <w:t>Ec</w:t>
      </w:r>
      <w:r w:rsidR="006B2FA2">
        <w:t>Muscle network contained 14,</w:t>
      </w:r>
      <w:r w:rsidR="00F15F9E">
        <w:t>677</w:t>
      </w:r>
      <w:r w:rsidR="006B2FA2">
        <w:t xml:space="preserve"> genes (70% of total) and all </w:t>
      </w:r>
      <w:r w:rsidR="007B6A34">
        <w:t>79</w:t>
      </w:r>
      <w:r w:rsidR="006B2FA2">
        <w:t xml:space="preserve"> accessions were included in the network.</w:t>
      </w:r>
      <w:r w:rsidR="003C081F">
        <w:t xml:space="preserve"> </w:t>
      </w:r>
      <w:r w:rsidR="006B2FA2">
        <w:t xml:space="preserve">The </w:t>
      </w:r>
      <w:r w:rsidR="00F15F9E">
        <w:t>Ec</w:t>
      </w:r>
      <w:r w:rsidR="006B2FA2">
        <w:t>Adipose network contained 16,0</w:t>
      </w:r>
      <w:r w:rsidR="00F15F9E">
        <w:t>67</w:t>
      </w:r>
      <w:r w:rsidR="006B2FA2">
        <w:t xml:space="preserve"> genes (77% of total) and all 6</w:t>
      </w:r>
      <w:r w:rsidR="00F15F9E">
        <w:t>3</w:t>
      </w:r>
      <w:r w:rsidR="006B2FA2">
        <w:t xml:space="preserve"> accessions passed quality control.</w:t>
      </w:r>
      <w:r w:rsidR="00F0689E">
        <w:t xml:space="preserve"> A </w:t>
      </w:r>
      <w:r w:rsidR="00FC7E82">
        <w:t>Z</w:t>
      </w:r>
      <w:r w:rsidR="009E1164">
        <w:t>-</w:t>
      </w:r>
      <w:r w:rsidR="00F0689E">
        <w:t xml:space="preserve">score </w:t>
      </w:r>
      <w:r w:rsidR="00F0689E">
        <w:rPr>
          <w:rFonts w:cstheme="minorHAnsi"/>
        </w:rPr>
        <w:t>≥</w:t>
      </w:r>
      <w:r w:rsidR="00F0689E">
        <w:t xml:space="preserve"> 3 was used to define the</w:t>
      </w:r>
      <w:r w:rsidR="00C8460F">
        <w:t xml:space="preserve"> edge</w:t>
      </w:r>
      <w:r w:rsidR="00F0689E">
        <w:t xml:space="preserve"> threshold in each network</w:t>
      </w:r>
      <w:r w:rsidR="00C8460F">
        <w:t xml:space="preserve"> result</w:t>
      </w:r>
      <w:r w:rsidR="00FC7E82">
        <w:t>ing</w:t>
      </w:r>
      <w:r w:rsidR="00C8460F">
        <w:t xml:space="preserve"> in 649,582</w:t>
      </w:r>
      <w:r w:rsidR="00B44618">
        <w:t xml:space="preserve"> interactions</w:t>
      </w:r>
      <w:r w:rsidR="00C8460F">
        <w:t xml:space="preserve"> </w:t>
      </w:r>
      <w:r w:rsidR="00FC7E82">
        <w:t>(</w:t>
      </w:r>
      <w:r w:rsidR="00C8460F">
        <w:t>of</w:t>
      </w:r>
      <w:r w:rsidR="00FC7E82">
        <w:t xml:space="preserve"> </w:t>
      </w:r>
      <w:r w:rsidR="00C8460F">
        <w:t>107,699,826</w:t>
      </w:r>
      <w:r w:rsidR="00FC7E82">
        <w:t xml:space="preserve"> total)</w:t>
      </w:r>
      <w:r w:rsidR="00C8460F">
        <w:t xml:space="preserve"> in the EcMuscle network and 563,994</w:t>
      </w:r>
      <w:r w:rsidR="00B44618">
        <w:t xml:space="preserve"> interactions</w:t>
      </w:r>
      <w:r w:rsidR="00C8460F">
        <w:t xml:space="preserve"> </w:t>
      </w:r>
      <w:r w:rsidR="00FC7E82">
        <w:t>(of</w:t>
      </w:r>
      <w:r w:rsidR="00C8460F">
        <w:t xml:space="preserve"> 129,066,211</w:t>
      </w:r>
      <w:r w:rsidR="00FC7E82">
        <w:t xml:space="preserve"> total)</w:t>
      </w:r>
      <w:r w:rsidR="00D316DD">
        <w:t xml:space="preserve"> </w:t>
      </w:r>
      <w:r w:rsidR="00C8460F">
        <w:t xml:space="preserve">in the </w:t>
      </w:r>
      <w:r w:rsidR="006034CF">
        <w:t>Ec</w:t>
      </w:r>
      <w:r w:rsidR="00C8460F">
        <w:t>Adipose network.</w:t>
      </w:r>
      <w:r w:rsidR="00684C77">
        <w:t xml:space="preserve"> Gene clusters with greater than 10 genes were identified by Camoco</w:t>
      </w:r>
      <w:r w:rsidR="002F53F5">
        <w:t xml:space="preserve"> using</w:t>
      </w:r>
      <w:r w:rsidR="00D810CB">
        <w:t xml:space="preserve"> the</w:t>
      </w:r>
      <w:r w:rsidR="002F53F5">
        <w:t xml:space="preserve"> Markov Clustering (MCL</w:t>
      </w:r>
      <w:r w:rsidR="00FF5B26">
        <w:t>) algorithm</w:t>
      </w:r>
      <w:r w:rsidR="00D810CB">
        <w:t xml:space="preserve"> </w:t>
      </w:r>
      <w:r w:rsidR="00D810CB">
        <w:fldChar w:fldCharType="begin" w:fldLock="1"/>
      </w:r>
      <w:r w:rsidR="00D810CB">
        <w:instrText>ADDIN CSL_CITATION {"citationItems":[{"id":"ITEM-1","itemData":{"author":[{"dropping-particle":"van","family":"Dongen","given":"Stijn","non-dropping-particle":"","parse-names":false,"suffix":""}],"container-title":"http://micans.org/mcl","id":"ITEM-1","issued":{"date-parts":[["2000"]]},"publisher":"Center for Information Workshop","title":"MCL—a cluster algorithm for graphs","type":"webpage"},"uris":["http://www.mendeley.com/documents/?uuid=4a183e2c-f011-48fb-9cc5-2d162987f162"]}],"mendeley":{"formattedCitation":"(Dongen 2000)","plainTextFormattedCitation":"(Dongen 2000)"},"properties":{"noteIndex":0},"schema":"https://github.com/citation-style-language/schema/raw/master/csl-citation.json"}</w:instrText>
      </w:r>
      <w:r w:rsidR="00D810CB">
        <w:fldChar w:fldCharType="separate"/>
      </w:r>
      <w:r w:rsidR="00D810CB" w:rsidRPr="00D810CB">
        <w:rPr>
          <w:noProof/>
        </w:rPr>
        <w:t>(Dongen 2000)</w:t>
      </w:r>
      <w:r w:rsidR="00D810CB">
        <w:fldChar w:fldCharType="end"/>
      </w:r>
      <w:r w:rsidR="00ED28F4">
        <w:t>, an unsupervised approach that simulates random walks throughout the network to de</w:t>
      </w:r>
      <w:r w:rsidR="00BE17B6">
        <w:t>fine</w:t>
      </w:r>
      <w:r w:rsidR="00ED28F4">
        <w:t xml:space="preserve"> clusters</w:t>
      </w:r>
      <w:r w:rsidR="00FF5B26">
        <w:t xml:space="preserve"> (</w:t>
      </w:r>
      <w:r w:rsidR="009A4941">
        <w:t xml:space="preserve">See </w:t>
      </w:r>
      <w:r w:rsidR="009A4941">
        <w:fldChar w:fldCharType="begin"/>
      </w:r>
      <w:r w:rsidR="009A4941">
        <w:instrText xml:space="preserve"> REF _Ref32829849 \h </w:instrText>
      </w:r>
      <w:r w:rsidR="009A4941">
        <w:fldChar w:fldCharType="separate"/>
      </w:r>
      <w:r w:rsidR="009A4941">
        <w:t>Materials and Methods</w:t>
      </w:r>
      <w:r w:rsidR="009A4941">
        <w:fldChar w:fldCharType="end"/>
      </w:r>
      <w:r w:rsidR="009A4941">
        <w:t>)</w:t>
      </w:r>
      <w:r w:rsidR="00D9563D">
        <w:t>.</w:t>
      </w:r>
      <w:r w:rsidR="00D611A4">
        <w:t xml:space="preserve"> </w:t>
      </w:r>
      <w:r w:rsidR="00D611A4">
        <w:fldChar w:fldCharType="begin"/>
      </w:r>
      <w:r w:rsidR="00D611A4">
        <w:instrText xml:space="preserve"> REF _Ref32828136 \h </w:instrText>
      </w:r>
      <w:r w:rsidR="00D611A4">
        <w:fldChar w:fldCharType="separate"/>
      </w:r>
      <w:r w:rsidR="00D611A4">
        <w:t>Figure 1</w:t>
      </w:r>
      <w:r w:rsidR="00D611A4">
        <w:fldChar w:fldCharType="end"/>
      </w:r>
      <w:r w:rsidR="00D611A4">
        <w:t xml:space="preserve"> shows an overview for each tissue network</w:t>
      </w:r>
      <w:r w:rsidR="00D810CB">
        <w:t>, displaying the approximate boundaries of the top ten largest MCL clusters and the degree distribution of each network</w:t>
      </w:r>
      <w:r w:rsidR="00D611A4">
        <w:t>.</w:t>
      </w:r>
      <w:r w:rsidR="00D9563D">
        <w:t xml:space="preserve"> </w:t>
      </w:r>
      <w:r w:rsidR="00D810CB">
        <w:t xml:space="preserve">In total, </w:t>
      </w:r>
      <w:r w:rsidR="00684C77">
        <w:t xml:space="preserve">66 </w:t>
      </w:r>
      <w:r w:rsidR="00D9563D">
        <w:t xml:space="preserve">MCL </w:t>
      </w:r>
      <w:r w:rsidR="00684C77">
        <w:t>gene clusters</w:t>
      </w:r>
      <w:r w:rsidR="00D9563D">
        <w:t xml:space="preserve"> were identified</w:t>
      </w:r>
      <w:r w:rsidR="00684C77">
        <w:t xml:space="preserve"> in the EcMuscle network</w:t>
      </w:r>
      <w:r w:rsidR="00D9563D">
        <w:t xml:space="preserve"> containing between 10 and 2</w:t>
      </w:r>
      <w:r w:rsidR="00BE17B6">
        <w:t>,</w:t>
      </w:r>
      <w:r w:rsidR="00D9563D">
        <w:t>068 genes. Likewise,</w:t>
      </w:r>
      <w:r w:rsidR="00684C77">
        <w:t xml:space="preserve"> </w:t>
      </w:r>
      <w:r w:rsidR="00D611A4">
        <w:t xml:space="preserve">a total of </w:t>
      </w:r>
      <w:r w:rsidR="00D9563D">
        <w:t>1</w:t>
      </w:r>
      <w:r w:rsidR="00684C77">
        <w:t xml:space="preserve">07 </w:t>
      </w:r>
      <w:r w:rsidR="00D9563D">
        <w:t xml:space="preserve">MCL </w:t>
      </w:r>
      <w:r w:rsidR="00684C77">
        <w:t>clusters</w:t>
      </w:r>
      <w:r w:rsidR="00D9563D">
        <w:t xml:space="preserve"> were identified</w:t>
      </w:r>
      <w:r w:rsidR="00684C77">
        <w:t xml:space="preserve"> in Ec</w:t>
      </w:r>
      <w:r w:rsidR="007C2AB4">
        <w:t>Adipose</w:t>
      </w:r>
      <w:r w:rsidR="00185288">
        <w:t xml:space="preserve"> network</w:t>
      </w:r>
      <w:r w:rsidR="00D611A4">
        <w:t xml:space="preserve"> having</w:t>
      </w:r>
      <w:r w:rsidR="00D9563D">
        <w:t xml:space="preserve"> between 10 and 1,177 genes</w:t>
      </w:r>
      <w:r w:rsidR="00185288">
        <w:t>.</w:t>
      </w:r>
      <w:r w:rsidR="00C8460F">
        <w:t xml:space="preserve"> </w:t>
      </w:r>
      <w:r w:rsidR="00F24593">
        <w:t>Both n</w:t>
      </w:r>
      <w:r w:rsidR="00F0689E">
        <w:t>etworks showed</w:t>
      </w:r>
      <w:r w:rsidR="00F87744">
        <w:t xml:space="preserve"> a</w:t>
      </w:r>
      <w:r w:rsidR="002F5016">
        <w:t xml:space="preserve"> heavy-tailed</w:t>
      </w:r>
      <w:r w:rsidR="00F87744">
        <w:t xml:space="preserve"> distribution for network edges, which is typical for biological networks</w:t>
      </w:r>
      <w:r w:rsidR="00F0689E">
        <w:t xml:space="preserve"> (</w:t>
      </w:r>
      <w:r w:rsidR="00F0689E">
        <w:fldChar w:fldCharType="begin"/>
      </w:r>
      <w:r w:rsidR="00F0689E">
        <w:instrText xml:space="preserve"> REF _Ref32828136 \h </w:instrText>
      </w:r>
      <w:r w:rsidR="00F0689E">
        <w:fldChar w:fldCharType="separate"/>
      </w:r>
      <w:r w:rsidR="00F0689E">
        <w:t>Figure 1</w:t>
      </w:r>
      <w:r w:rsidR="00F0689E">
        <w:fldChar w:fldCharType="end"/>
      </w:r>
      <w:r w:rsidR="002F53F5">
        <w:t xml:space="preserve"> inset</w:t>
      </w:r>
      <w:r w:rsidR="00FF72F0">
        <w:t>;</w:t>
      </w:r>
      <w:r w:rsidR="002F5016">
        <w:t xml:space="preserve"> </w:t>
      </w:r>
      <w:r w:rsidR="002F5016">
        <w:fldChar w:fldCharType="begin" w:fldLock="1"/>
      </w:r>
      <w:r w:rsidR="000C6EBE">
        <w:instrText>ADDIN CSL_CITATION {"citationItems":[{"id":"ITEM-1","itemData":{"DOI":"10.1038/35065725","ISBN":"0028-0836","ISSN":"0028-0836","PMID":"11258382","abstract":"The study of networks pervades all of science, from neurobiology to statistical physics. The most basic issues are structural: how does one characterize the wiring diagram of a food web or the Internet or the metabolic network of the bacterium Escherichia coli? Are there any unifying principles underlying their topology? From the perspective of nonlinear dynamics, we would also like to understand how an enormous network of interacting dynamical systems-be they neurons, power stations or lasers-will behave collectively, given their individual dynamics and coupling architecture. Researchers are only now beginning to unravel the structure and dynamics of complex networks.","author":[{"dropping-particle":"","family":"Strogatz","given":"Steven H","non-dropping-particle":"","parse-names":false,"suffix":""}],"container-title":"Nature","id":"ITEM-1","issue":"6825","issued":{"date-parts":[["2001","3","8"]]},"page":"268-276","title":"Exploring complex networks","type":"article-journal","volume":"410"},"uris":["http://www.mendeley.com/documents/?uuid=939c12cf-9ee7-407f-b06e-0caddacd7ee5"]},{"id":"ITEM-2","itemData":{"DOI":"10.1371/journal.pone.0085777","ISSN":"1932-6203","PMID":"24489671","abstract":"Power laws are theoretically interesting probability distributions that are also frequently used to describe empirical data. In recent years, effective statistical methods for fitting power laws have been developed, but appropriate use of these techniques requires significant programming and statistical insight. In order to greatly decrease the barriers to using good statistical methods for fitting power law distributions, we developed the powerlaw Python package. This software package provides easy commands for basic fitting and statistical analysis of distributions. Notably, it also seeks to support a variety of user needs by being exhaustive in the options available to the user. The source code is publicly available and easily extensible.","author":[{"dropping-particle":"","family":"Alstott","given":"Jeff","non-dropping-particle":"","parse-names":false,"suffix":""},{"dropping-particle":"","family":"Bullmore","given":"Ed","non-dropping-particle":"","parse-names":false,"suffix":""},{"dropping-particle":"","family":"Plenz","given":"Dietmar","non-dropping-particle":"","parse-names":false,"suffix":""}],"container-title":"PloS one","editor":[{"dropping-particle":"","family":"Rapallo","given":"Fabio","non-dropping-particle":"","parse-names":false,"suffix":""}],"id":"ITEM-2","issue":"1","issued":{"date-parts":[["2014","1"]]},"page":"e85777","publisher":"Public Library of Science","title":"powerlaw: a Python package for analysis of heavy-tailed distributions.","type":"article-journal","volume":"9"},"uris":["http://www.mendeley.com/documents/?uuid=9296654b-af51-4b3f-9cfe-7960e0e47655"]}],"mendeley":{"formattedCitation":"(Strogatz 2001; Alstott et al. 2014)","plainTextFormattedCitation":"(Strogatz 2001; Alstott et al. 2014)","previouslyFormattedCitation":"(Strogatz 2001; Alstott et al. 2014)"},"properties":{"noteIndex":0},"schema":"https://github.com/citation-style-language/schema/raw/master/csl-citation.json"}</w:instrText>
      </w:r>
      <w:r w:rsidR="002F5016">
        <w:fldChar w:fldCharType="separate"/>
      </w:r>
      <w:r w:rsidR="002F5016" w:rsidRPr="002F5016">
        <w:rPr>
          <w:noProof/>
        </w:rPr>
        <w:t>(Strogatz 2001; Alstott et al. 2014)</w:t>
      </w:r>
      <w:r w:rsidR="002F5016">
        <w:fldChar w:fldCharType="end"/>
      </w:r>
      <w:r w:rsidR="00FF72F0">
        <w:t>)</w:t>
      </w:r>
      <w:r w:rsidR="00F87744">
        <w:t xml:space="preserve">. </w:t>
      </w:r>
    </w:p>
    <w:p w14:paraId="00CC0D80" w14:textId="727D605E" w:rsidR="009F041C" w:rsidRDefault="003E7F00" w:rsidP="00BA6848">
      <w:pPr>
        <w:pStyle w:val="Heading2"/>
      </w:pPr>
      <w:r>
        <w:t>Supervised m</w:t>
      </w:r>
      <w:r w:rsidR="004F4EB8">
        <w:t xml:space="preserve">apping </w:t>
      </w:r>
      <w:r>
        <w:t xml:space="preserve">of </w:t>
      </w:r>
      <w:r w:rsidR="004F4EB8">
        <w:t xml:space="preserve">functional contexts </w:t>
      </w:r>
      <w:r>
        <w:t>in</w:t>
      </w:r>
      <w:r w:rsidR="004F4EB8">
        <w:t xml:space="preserve"> tissue</w:t>
      </w:r>
      <w:r w:rsidR="00E86952">
        <w:t xml:space="preserve"> co-expression</w:t>
      </w:r>
      <w:r w:rsidR="004F4EB8">
        <w:t xml:space="preserve"> networks</w:t>
      </w:r>
    </w:p>
    <w:p w14:paraId="7C91D84E" w14:textId="77777777" w:rsidR="00BE17B6" w:rsidRDefault="00CF6C1C" w:rsidP="00BA6848">
      <w:r>
        <w:t>The functional context of each network was quantified using a supervised approach</w:t>
      </w:r>
      <w:r w:rsidR="002857D4">
        <w:t xml:space="preserve"> based on the strength of gene co-expression among genes co-annotated for Gene Ontology (GO)</w:t>
      </w:r>
      <w:r w:rsidR="00285B96">
        <w:t xml:space="preserve"> and Kyoto Encyclopedia of Gene and Genomes (KEGG)</w:t>
      </w:r>
      <w:r w:rsidR="002857D4">
        <w:t xml:space="preserve"> Terms</w:t>
      </w:r>
      <w:r>
        <w:t>.</w:t>
      </w:r>
      <w:r w:rsidR="00D805CA">
        <w:t xml:space="preserve"> Briefly, each ontology: GO and KEGG, are composed of “terms”, which contain sets of genes with curated functional annotations based on experimental evidence. Terms from each ontology were</w:t>
      </w:r>
      <w:r w:rsidR="00BE17B6">
        <w:t xml:space="preserve"> scored</w:t>
      </w:r>
      <w:r w:rsidR="00D805CA">
        <w:t xml:space="preserve"> </w:t>
      </w:r>
      <w:r w:rsidR="00BE17B6">
        <w:t>based on</w:t>
      </w:r>
      <w:r w:rsidR="00D805CA">
        <w:t xml:space="preserve"> co-expression</w:t>
      </w:r>
      <w:r w:rsidR="00BE17B6">
        <w:t xml:space="preserve"> among member genes</w:t>
      </w:r>
      <w:r w:rsidR="00D805CA">
        <w:t xml:space="preserve"> </w:t>
      </w:r>
      <w:r w:rsidR="00BE17B6">
        <w:t>to determine if</w:t>
      </w:r>
      <w:r w:rsidR="00D805CA">
        <w:t xml:space="preserve"> network interactions recapitulate previously annotated functional information.</w:t>
      </w:r>
      <w:r>
        <w:t xml:space="preserve"> </w:t>
      </w:r>
    </w:p>
    <w:p w14:paraId="0ED6F98B" w14:textId="302911F6" w:rsidR="006B2FA2" w:rsidRDefault="00D47723" w:rsidP="00BA6848">
      <w:r>
        <w:t>N</w:t>
      </w:r>
      <w:r w:rsidR="000C6EBE">
        <w:t>etwork density</w:t>
      </w:r>
      <w:r w:rsidR="00696642">
        <w:t xml:space="preserve"> (</w:t>
      </w:r>
      <w:r w:rsidR="00696642">
        <w:fldChar w:fldCharType="begin"/>
      </w:r>
      <w:r w:rsidR="00696642">
        <w:instrText xml:space="preserve"> REF _Ref34036298 \h </w:instrText>
      </w:r>
      <w:r w:rsidR="00696642">
        <w:fldChar w:fldCharType="separate"/>
      </w:r>
      <w:r w:rsidR="00696642">
        <w:t>Equation 1</w:t>
      </w:r>
      <w:r w:rsidR="00696642">
        <w:fldChar w:fldCharType="end"/>
      </w:r>
      <w:r w:rsidR="00696642">
        <w:t>)</w:t>
      </w:r>
      <w:r>
        <w:t xml:space="preserve"> was measured among</w:t>
      </w:r>
      <w:r w:rsidR="007C351C">
        <w:t xml:space="preserve"> sets of genes within</w:t>
      </w:r>
      <w:r w:rsidR="003B7497">
        <w:t xml:space="preserve"> </w:t>
      </w:r>
      <w:r w:rsidR="0056317E">
        <w:t>5,418</w:t>
      </w:r>
      <w:r>
        <w:t xml:space="preserve"> </w:t>
      </w:r>
      <w:r w:rsidR="003B7497">
        <w:t>GO</w:t>
      </w:r>
      <w:r w:rsidR="00D805CA">
        <w:t xml:space="preserve"> and 70 KEGG</w:t>
      </w:r>
      <w:r>
        <w:t xml:space="preserve"> terms</w:t>
      </w:r>
      <w:r w:rsidR="007C351C">
        <w:t xml:space="preserve"> having</w:t>
      </w:r>
      <w:r w:rsidR="003B7497">
        <w:t xml:space="preserve"> at least 10</w:t>
      </w:r>
      <w:r w:rsidR="003548B3">
        <w:t xml:space="preserve"> and at most 300</w:t>
      </w:r>
      <w:r w:rsidR="003B7497">
        <w:t xml:space="preserve"> genes </w:t>
      </w:r>
      <w:r w:rsidR="0056317E">
        <w:t>in both networks</w:t>
      </w:r>
      <w:r w:rsidR="004F4EB8">
        <w:t xml:space="preserve"> to target biological processes of medium size</w:t>
      </w:r>
      <w:r w:rsidR="000C6EBE">
        <w:t xml:space="preserve"> </w:t>
      </w:r>
      <w:r w:rsidR="000C6EBE">
        <w:fldChar w:fldCharType="begin" w:fldLock="1"/>
      </w:r>
      <w:r w:rsidR="00B43A24">
        <w:instrText>ADDIN CSL_CITATION {"citationItems":[{"id":"ITEM-1","itemData":{"DOI":"10.1105/tpc.18.00299","ISBN":"0000000344272","ISSN":"1532298X","PMID":"30413654","abstract":"Genome-wide association studies (GWAS) have identified loci linked to hundreds of traits in many different species. Yet, because linkage equilibrium implicates a broad region surrounding each identified locus, the causal genes often remain unknown. This problem is especially pronounced in nonhuman, nonmodel species, where functional annotations are sparse and there is frequently little information available for prioritizing candidate genes. We developed a computational approach, Camoco, that integrates loci identified by GWAS with functional information derived from gene coexpression networks. Using Camoco, we prioritized candidate genes from a large-scale GWAS examining the accumulation of 17 different elements in maize (Zea mays) seeds. Strikingly, we observed a strong dependence in the performance of our approach based on the type of coexpression network used: expression variation across genetically diverse individuals in a relevant tissue context (in our case, roots that are the primary elemental uptake and delivery system) outperformed other alternative networks. Two candidate genes identified by our approach were validated using mutants. Our study demonstrates that coexpression networks provide a powerful basis for prioritizing candidate causal genes from GWAS loci but suggests that the success of such strategies can highly depend on the gene expression data context. Both the software and the lessons on integrating GWAS data with coexpression networks generalize to species beyond maize.","author":[{"dropping-particle":"","family":"Schaefer","given":"Robert J.","non-dropping-particle":"","parse-names":false,"suffix":""},{"dropping-particle":"","family":"Michno","given":"Jean Michel","non-dropping-particle":"","parse-names":false,"suffix":""},{"dropping-particle":"","family":"Jeffers","given":"Joseph","non-dropping-particle":"","parse-names":false,"suffix":""},{"dropping-particle":"","family":"Hoekenga","given":"Owen","non-dropping-particle":"","parse-names":false,"suffix":""},{"dropping-particle":"","family":"Dilkes","given":"Brian","non-dropping-particle":"","parse-names":false,"suffix":""},{"dropping-particle":"","family":"Baxter","given":"Ivan","non-dropping-particle":"","parse-names":false,"suffix":""},{"dropping-particle":"","family":"Myersc","given":"Chad L.","non-dropping-particle":"","parse-names":false,"suffix":""}],"container-title":"Plant Cell","id":"ITEM-1","issue":"12","issued":{"date-parts":[["2018"]]},"page":"2922-2942","title":"Integrating coexpression networks with GWAS to prioritize causal genes in maize","type":"article-journal","volume":"30"},"uris":["http://www.mendeley.com/documents/?uuid=af2f34d5-5051-4c7d-97f8-088e0597f5b0"]}],"mendeley":{"formattedCitation":"(Schaefer et al. 2018)","plainTextFormattedCitation":"(Schaefer et al. 2018)","previouslyFormattedCitation":"(Schaefer et al. 2018)"},"properties":{"noteIndex":0},"schema":"https://github.com/citation-style-language/schema/raw/master/csl-citation.json"}</w:instrText>
      </w:r>
      <w:r w:rsidR="000C6EBE">
        <w:fldChar w:fldCharType="separate"/>
      </w:r>
      <w:r w:rsidR="000C6EBE" w:rsidRPr="000C6EBE">
        <w:rPr>
          <w:noProof/>
        </w:rPr>
        <w:t>(Schaefer et al. 2018)</w:t>
      </w:r>
      <w:r w:rsidR="000C6EBE">
        <w:fldChar w:fldCharType="end"/>
      </w:r>
      <w:r>
        <w:t xml:space="preserve">. </w:t>
      </w:r>
      <w:r w:rsidR="005105FE">
        <w:t>E</w:t>
      </w:r>
      <w:r w:rsidR="009407CB">
        <w:t>mpirical p-</w:t>
      </w:r>
      <w:proofErr w:type="spellStart"/>
      <w:proofErr w:type="gramStart"/>
      <w:r w:rsidR="009407CB">
        <w:t>value</w:t>
      </w:r>
      <w:r w:rsidR="005105FE">
        <w:t>’s</w:t>
      </w:r>
      <w:proofErr w:type="spellEnd"/>
      <w:proofErr w:type="gramEnd"/>
      <w:r w:rsidR="005105FE">
        <w:t xml:space="preserve"> were calculated</w:t>
      </w:r>
      <w:r w:rsidR="009407CB">
        <w:t xml:space="preserve"> for</w:t>
      </w:r>
      <w:r w:rsidR="005105FE">
        <w:t xml:space="preserve"> each term’s</w:t>
      </w:r>
      <w:r w:rsidR="009407CB">
        <w:t xml:space="preserve"> co-expression scores</w:t>
      </w:r>
      <w:r w:rsidR="005105FE">
        <w:t xml:space="preserve"> by comparing to</w:t>
      </w:r>
      <w:r w:rsidR="009407CB">
        <w:t xml:space="preserve"> </w:t>
      </w:r>
      <w:r>
        <w:t>randomized sets of genes of the same size</w:t>
      </w:r>
      <w:r w:rsidR="00780874">
        <w:t xml:space="preserve"> (n=1,000)</w:t>
      </w:r>
      <w:r>
        <w:t>.</w:t>
      </w:r>
      <w:r w:rsidR="00780874">
        <w:t xml:space="preserve"> False discovery rates were controlled using the Benjamini-Hoch</w:t>
      </w:r>
      <w:r w:rsidR="006F22DD">
        <w:t>b</w:t>
      </w:r>
      <w:r w:rsidR="00780874">
        <w:t>erg procedure</w:t>
      </w:r>
      <w:r w:rsidR="00BF4877">
        <w:t xml:space="preserve"> with </w:t>
      </w:r>
      <w:proofErr w:type="gramStart"/>
      <w:r w:rsidR="00BF4877">
        <w:t>a</w:t>
      </w:r>
      <w:proofErr w:type="gramEnd"/>
      <w:r w:rsidR="00BF4877">
        <w:t xml:space="preserve"> FDR level of </w:t>
      </w:r>
      <w:r w:rsidR="0070703B">
        <w:t>1%</w:t>
      </w:r>
      <w:r w:rsidR="00780874">
        <w:t>.</w:t>
      </w:r>
    </w:p>
    <w:p w14:paraId="1727804F" w14:textId="0244ED9B" w:rsidR="00696642" w:rsidRDefault="006F22DD" w:rsidP="00BA6848">
      <w:r>
        <w:lastRenderedPageBreak/>
        <w:t>Of the 5,418</w:t>
      </w:r>
      <w:r w:rsidR="007C351C">
        <w:t xml:space="preserve"> GO</w:t>
      </w:r>
      <w:r>
        <w:t xml:space="preserve"> total</w:t>
      </w:r>
      <w:r w:rsidR="007C351C">
        <w:t xml:space="preserve"> and 70 KEGG</w:t>
      </w:r>
      <w:r>
        <w:t xml:space="preserve"> terms tested, 2,184</w:t>
      </w:r>
      <w:r w:rsidR="00034BB5">
        <w:t xml:space="preserve"> (40.3%)</w:t>
      </w:r>
      <w:r>
        <w:t xml:space="preserve"> GO</w:t>
      </w:r>
      <w:r w:rsidR="007C351C">
        <w:t xml:space="preserve"> terms</w:t>
      </w:r>
      <w:r>
        <w:t xml:space="preserve"> </w:t>
      </w:r>
      <w:r w:rsidR="007C351C">
        <w:t xml:space="preserve">and 29 (41.4%) KEGG </w:t>
      </w:r>
      <w:r>
        <w:t>terms exhibited significant co-expression in</w:t>
      </w:r>
      <w:r w:rsidR="0026031D">
        <w:t xml:space="preserve"> at least</w:t>
      </w:r>
      <w:r>
        <w:t xml:space="preserve"> one of the networks</w:t>
      </w:r>
      <w:r w:rsidR="00034BB5">
        <w:t xml:space="preserve"> (</w:t>
      </w:r>
      <w:r w:rsidR="00034BB5">
        <w:fldChar w:fldCharType="begin"/>
      </w:r>
      <w:r w:rsidR="00034BB5">
        <w:instrText xml:space="preserve"> REF _Ref33020938 \h </w:instrText>
      </w:r>
      <w:r w:rsidR="00034BB5">
        <w:fldChar w:fldCharType="separate"/>
      </w:r>
      <w:r w:rsidR="00034BB5">
        <w:t>Figure 2</w:t>
      </w:r>
      <w:r w:rsidR="00034BB5">
        <w:fldChar w:fldCharType="end"/>
      </w:r>
      <w:r w:rsidR="00034BB5">
        <w:t>)</w:t>
      </w:r>
      <w:r w:rsidR="0026031D">
        <w:t xml:space="preserve">. </w:t>
      </w:r>
      <w:r w:rsidR="00195572">
        <w:t>Ontological t</w:t>
      </w:r>
      <w:r w:rsidR="00034BB5">
        <w:t>erms were compared across</w:t>
      </w:r>
      <w:r w:rsidR="00195572">
        <w:t xml:space="preserve"> tissues</w:t>
      </w:r>
      <w:r w:rsidR="00034BB5">
        <w:t xml:space="preserve"> to identify processes that were co-expressed in both networks as well as those that were significant in only a single tissue source.</w:t>
      </w:r>
      <w:r w:rsidR="00195572">
        <w:t xml:space="preserve"> </w:t>
      </w:r>
      <w:r w:rsidR="0026031D">
        <w:t>In total, there were 899</w:t>
      </w:r>
      <w:r w:rsidR="005E3172">
        <w:t xml:space="preserve"> (16.5%) GO and 19 (27.1%) KEGG</w:t>
      </w:r>
      <w:r w:rsidR="0026031D">
        <w:t xml:space="preserve"> terms with significant co-expression</w:t>
      </w:r>
      <w:r w:rsidR="002D632F">
        <w:t xml:space="preserve"> (FDR </w:t>
      </w:r>
      <w:r w:rsidR="002D632F">
        <w:rPr>
          <w:rFonts w:cstheme="minorHAnsi"/>
        </w:rPr>
        <w:t>≤</w:t>
      </w:r>
      <w:r w:rsidR="002D632F">
        <w:t xml:space="preserve"> 0.01)</w:t>
      </w:r>
      <w:r w:rsidR="0026031D">
        <w:t xml:space="preserve"> in both EcMuscle and EcAdipose networks. Term sizes varied between 10 and 281 genes</w:t>
      </w:r>
      <w:r w:rsidR="005E3172">
        <w:t xml:space="preserve"> in GO and 11 and 146 genes in KEGG,</w:t>
      </w:r>
      <w:r w:rsidR="0026031D">
        <w:t xml:space="preserve"> covering a wide breadth of functional coverage</w:t>
      </w:r>
      <w:r w:rsidR="00E36A81">
        <w:t xml:space="preserve"> (see </w:t>
      </w:r>
      <w:r w:rsidR="00E36A81">
        <w:fldChar w:fldCharType="begin"/>
      </w:r>
      <w:r w:rsidR="00E36A81">
        <w:instrText xml:space="preserve"> REF _Ref34231029 \h </w:instrText>
      </w:r>
      <w:r w:rsidR="00E36A81">
        <w:fldChar w:fldCharType="separate"/>
      </w:r>
      <w:r w:rsidR="00E36A81">
        <w:t>Discussion</w:t>
      </w:r>
      <w:r w:rsidR="00E36A81">
        <w:fldChar w:fldCharType="end"/>
      </w:r>
      <w:r w:rsidR="00E36A81">
        <w:t>)</w:t>
      </w:r>
      <w:r w:rsidR="0026031D">
        <w:t>.</w:t>
      </w:r>
      <w:r w:rsidR="00E36A81">
        <w:t xml:space="preserve"> </w:t>
      </w:r>
      <w:r w:rsidR="00034BB5">
        <w:t xml:space="preserve">Many terms </w:t>
      </w:r>
      <w:r w:rsidR="002258EA">
        <w:t>were only co-expressed in a single</w:t>
      </w:r>
      <w:r w:rsidR="00034BB5">
        <w:t xml:space="preserve"> tissue when compared between EcMuscle and EcAdipose. </w:t>
      </w:r>
      <w:r>
        <w:t xml:space="preserve">The EcMuscle network had a total of 1,115 significantly co-expressed GO </w:t>
      </w:r>
      <w:r w:rsidR="005A6369">
        <w:t>and 20 KEGG terms</w:t>
      </w:r>
      <w:r>
        <w:t xml:space="preserve"> </w:t>
      </w:r>
      <w:r w:rsidR="00034BB5">
        <w:t>of which</w:t>
      </w:r>
      <w:r>
        <w:t xml:space="preserve"> 218</w:t>
      </w:r>
      <w:r w:rsidR="005A6369">
        <w:t xml:space="preserve"> GO and 1 KEGG</w:t>
      </w:r>
      <w:r>
        <w:t xml:space="preserve"> terms</w:t>
      </w:r>
      <w:r w:rsidR="005A6369">
        <w:t xml:space="preserve"> and</w:t>
      </w:r>
      <w:r>
        <w:t xml:space="preserve"> were </w:t>
      </w:r>
      <w:r w:rsidR="005A6369">
        <w:t>only</w:t>
      </w:r>
      <w:r>
        <w:t xml:space="preserve"> co-expressed in the EcMuscle network. Likewise, the EcAdipose network had a total of 1,966 significantly co-expressed </w:t>
      </w:r>
      <w:r w:rsidR="005A6369">
        <w:t xml:space="preserve">GO and 28 KEGG </w:t>
      </w:r>
      <w:r>
        <w:t>terms, with 1,115</w:t>
      </w:r>
      <w:r w:rsidR="005A6369">
        <w:t xml:space="preserve"> GO and 9 KEGG</w:t>
      </w:r>
      <w:r>
        <w:t xml:space="preserve"> terms co-expressed only</w:t>
      </w:r>
      <w:r w:rsidR="005A6369">
        <w:t xml:space="preserve"> in</w:t>
      </w:r>
      <w:r>
        <w:t xml:space="preserve"> the EcAdipose network.</w:t>
      </w:r>
    </w:p>
    <w:p w14:paraId="36F06691" w14:textId="17F9C51F" w:rsidR="0026031D" w:rsidRDefault="003E7F00" w:rsidP="00BA6848">
      <w:pPr>
        <w:pStyle w:val="Heading2"/>
      </w:pPr>
      <w:r>
        <w:t>Unsupervised mapping of functional contexts in tissue co-expression networks</w:t>
      </w:r>
    </w:p>
    <w:p w14:paraId="5EF9D6BC" w14:textId="3FC06D12" w:rsidR="00117319" w:rsidRDefault="007B6EDF" w:rsidP="002548BF">
      <w:r>
        <w:t>Network functional contexts were also evaluated</w:t>
      </w:r>
      <w:r w:rsidR="002548BF">
        <w:t xml:space="preserve"> and compared</w:t>
      </w:r>
      <w:r>
        <w:t xml:space="preserve"> in an unsupervised approach</w:t>
      </w:r>
      <w:r w:rsidR="00E36A81">
        <w:t xml:space="preserve"> based on</w:t>
      </w:r>
      <w:r w:rsidR="009210CD">
        <w:t xml:space="preserve"> overlap of</w:t>
      </w:r>
      <w:r w:rsidR="00217752">
        <w:t xml:space="preserve"> MCL </w:t>
      </w:r>
      <w:r w:rsidR="00E36A81">
        <w:t>clusters</w:t>
      </w:r>
      <w:r w:rsidR="00996864">
        <w:t>, which</w:t>
      </w:r>
      <w:r w:rsidR="00217752">
        <w:t xml:space="preserve"> represent sets of genes</w:t>
      </w:r>
      <w:r w:rsidR="009210CD">
        <w:t xml:space="preserve"> in each network</w:t>
      </w:r>
      <w:r w:rsidR="00217752">
        <w:t xml:space="preserve"> with highly</w:t>
      </w:r>
      <w:r w:rsidR="00E36A81">
        <w:t xml:space="preserve"> similar gene expression profiles</w:t>
      </w:r>
      <w:r w:rsidR="00C7630B">
        <w:t xml:space="preserve"> (see </w:t>
      </w:r>
      <w:r w:rsidR="00C7630B">
        <w:fldChar w:fldCharType="begin"/>
      </w:r>
      <w:r w:rsidR="00C7630B">
        <w:instrText xml:space="preserve"> REF _Ref32829849 \h </w:instrText>
      </w:r>
      <w:r w:rsidR="00C7630B">
        <w:fldChar w:fldCharType="separate"/>
      </w:r>
      <w:r w:rsidR="00C7630B">
        <w:t>Materials and Methods</w:t>
      </w:r>
      <w:r w:rsidR="00C7630B">
        <w:fldChar w:fldCharType="end"/>
      </w:r>
      <w:r w:rsidR="00C7630B">
        <w:t>)</w:t>
      </w:r>
      <w:r>
        <w:t>.</w:t>
      </w:r>
      <w:r w:rsidR="00851F88">
        <w:t xml:space="preserve"> </w:t>
      </w:r>
      <w:r w:rsidR="002548BF">
        <w:t>MCL clusters from each network (n ≥ 10 genes) were evaluated for co-clustering in the respective other network (</w:t>
      </w:r>
      <w:r w:rsidR="002548BF">
        <w:fldChar w:fldCharType="begin"/>
      </w:r>
      <w:r w:rsidR="002548BF">
        <w:instrText xml:space="preserve"> REF _Ref34923037 \h </w:instrText>
      </w:r>
      <w:r w:rsidR="002548BF">
        <w:fldChar w:fldCharType="separate"/>
      </w:r>
      <w:r w:rsidR="002548BF">
        <w:t>Figure 3</w:t>
      </w:r>
      <w:r w:rsidR="002548BF">
        <w:fldChar w:fldCharType="end"/>
      </w:r>
      <w:r w:rsidR="002548BF">
        <w:t>). Briefly, for each combination of MCL clusters between the two networks, the hypergeometric test was used to calculate</w:t>
      </w:r>
      <w:r w:rsidR="00C7630B">
        <w:t xml:space="preserve"> co-clustering</w:t>
      </w:r>
      <w:r w:rsidR="002258EA">
        <w:t xml:space="preserve"> (i.e. overlap)</w:t>
      </w:r>
      <w:r w:rsidR="00C7630B">
        <w:t xml:space="preserve"> based on</w:t>
      </w:r>
      <w:r w:rsidR="002548BF">
        <w:t xml:space="preserve"> the probability of gene set overlap between clusters</w:t>
      </w:r>
      <w:r w:rsidR="00C7630B">
        <w:t xml:space="preserve"> (p &lt; 0.05, Bonferroni adjusted)</w:t>
      </w:r>
      <w:r w:rsidR="002548BF">
        <w:t xml:space="preserve">. </w:t>
      </w:r>
      <w:r w:rsidR="00CD07CC">
        <w:t xml:space="preserve">A filter was also applied to remove </w:t>
      </w:r>
      <w:r w:rsidR="002258EA">
        <w:t>co-clusters</w:t>
      </w:r>
      <w:r w:rsidR="00CD07CC">
        <w:t xml:space="preserve"> with 2 or fewer</w:t>
      </w:r>
      <w:r w:rsidR="002258EA">
        <w:t xml:space="preserve"> overlapping</w:t>
      </w:r>
      <w:r w:rsidR="00CD07CC">
        <w:t xml:space="preserve"> genes </w:t>
      </w:r>
      <w:r w:rsidR="002548BF">
        <w:t>resulting in 110 total co-clusters among the two networks</w:t>
      </w:r>
      <w:r w:rsidR="008602F3">
        <w:t>.</w:t>
      </w:r>
      <w:r w:rsidR="004B7F32">
        <w:t xml:space="preserve"> </w:t>
      </w:r>
      <w:r w:rsidR="002548BF">
        <w:t>Clusters defined in one network often co-clustered with multiple clusters defined in the other.</w:t>
      </w:r>
      <w:r w:rsidR="00117319">
        <w:t xml:space="preserve"> For example, genes in EcMuscle cluster MCL10 </w:t>
      </w:r>
      <w:r w:rsidR="002548BF">
        <w:t>co-clustered</w:t>
      </w:r>
      <w:r w:rsidR="00117319">
        <w:t xml:space="preserve"> </w:t>
      </w:r>
      <w:r w:rsidR="002548BF">
        <w:t>with</w:t>
      </w:r>
      <w:r w:rsidR="00117319">
        <w:t xml:space="preserve"> </w:t>
      </w:r>
      <w:r w:rsidR="002258EA">
        <w:t xml:space="preserve">4 </w:t>
      </w:r>
      <w:r w:rsidR="00117319">
        <w:t>EcAdipose clusters</w:t>
      </w:r>
      <w:r w:rsidR="002258EA">
        <w:t>:</w:t>
      </w:r>
      <w:r w:rsidR="00117319">
        <w:t xml:space="preserve"> MCL11, MCL16, MCL17, and MCL45 in EcAdipose</w:t>
      </w:r>
      <w:r w:rsidR="002548BF">
        <w:t xml:space="preserve"> (See </w:t>
      </w:r>
      <w:r w:rsidR="002548BF">
        <w:fldChar w:fldCharType="begin"/>
      </w:r>
      <w:r w:rsidR="002548BF">
        <w:instrText xml:space="preserve"> REF _Ref34398225 \h </w:instrText>
      </w:r>
      <w:r w:rsidR="002548BF">
        <w:fldChar w:fldCharType="separate"/>
      </w:r>
      <w:r w:rsidR="002548BF">
        <w:t>Supp Dataset 6</w:t>
      </w:r>
      <w:r w:rsidR="002548BF">
        <w:fldChar w:fldCharType="end"/>
      </w:r>
      <w:r w:rsidR="002548BF">
        <w:t xml:space="preserve"> for complete results)</w:t>
      </w:r>
      <w:r w:rsidR="00117319">
        <w:t>.</w:t>
      </w:r>
      <w:r w:rsidR="00543F2B">
        <w:t xml:space="preserve"> </w:t>
      </w:r>
      <w:r w:rsidR="00543F2B">
        <w:t xml:space="preserve">MCL clusters were </w:t>
      </w:r>
      <w:r w:rsidR="00543F2B">
        <w:t xml:space="preserve">also </w:t>
      </w:r>
      <w:r w:rsidR="00543F2B">
        <w:t>evaluated for enrichment with GO and KEGG terms (10 ≤ n genes ≤ 300) to determine significant overlap in potential biological function (hypergeometric test; Bonferroni corrected p</w:t>
      </w:r>
      <w:r w:rsidR="00543F2B">
        <w:rPr>
          <w:vertAlign w:val="subscript"/>
        </w:rPr>
        <w:t xml:space="preserve"> </w:t>
      </w:r>
      <w:r w:rsidR="00543F2B">
        <w:t xml:space="preserve">≤ 0.05; See </w:t>
      </w:r>
      <w:r w:rsidR="00543F2B">
        <w:fldChar w:fldCharType="begin"/>
      </w:r>
      <w:r w:rsidR="00543F2B">
        <w:instrText xml:space="preserve"> REF _Ref34749007 \h </w:instrText>
      </w:r>
      <w:r w:rsidR="00543F2B">
        <w:fldChar w:fldCharType="separate"/>
      </w:r>
      <w:r w:rsidR="00543F2B">
        <w:t>Supp. Dataset 7</w:t>
      </w:r>
      <w:r w:rsidR="00543F2B">
        <w:fldChar w:fldCharType="end"/>
      </w:r>
      <w:r w:rsidR="00543F2B">
        <w:t xml:space="preserve"> for details).</w:t>
      </w:r>
      <w:r w:rsidR="00507A59">
        <w:t xml:space="preserve"> </w:t>
      </w:r>
    </w:p>
    <w:p w14:paraId="2D941EAF" w14:textId="536EC881" w:rsidR="00543F2B" w:rsidRDefault="002548BF" w:rsidP="00BA6848">
      <w:r>
        <w:lastRenderedPageBreak/>
        <w:t>O</w:t>
      </w:r>
      <w:r w:rsidR="004B7F32">
        <w:t xml:space="preserve">f the 66 </w:t>
      </w:r>
      <w:r w:rsidR="00C7630B">
        <w:t>MCL</w:t>
      </w:r>
      <w:r w:rsidR="004B7F32">
        <w:t xml:space="preserve"> clusters in the EcMuscle network, </w:t>
      </w:r>
      <w:r w:rsidR="00E67E80">
        <w:t>42</w:t>
      </w:r>
      <w:r w:rsidR="004B7F32">
        <w:t xml:space="preserve"> clusters (</w:t>
      </w:r>
      <w:r w:rsidR="00E67E80">
        <w:t>63.6</w:t>
      </w:r>
      <w:r w:rsidR="004B7F32">
        <w:t>%)</w:t>
      </w:r>
      <w:r>
        <w:t xml:space="preserve"> co-clustered </w:t>
      </w:r>
      <w:r w:rsidR="004B7F32">
        <w:t>in the EcAdipose network</w:t>
      </w:r>
      <w:r w:rsidR="005D292D">
        <w:t xml:space="preserve"> having between 1 and 21 EcAdipose co-clusters (p &lt; 0.05, Bonferroni adjusted; </w:t>
      </w:r>
      <w:r w:rsidR="005D292D">
        <w:fldChar w:fldCharType="begin"/>
      </w:r>
      <w:r w:rsidR="005D292D">
        <w:instrText xml:space="preserve"> REF _Ref34923037 \h </w:instrText>
      </w:r>
      <w:r w:rsidR="005D292D">
        <w:fldChar w:fldCharType="separate"/>
      </w:r>
      <w:r w:rsidR="005D292D">
        <w:t>Figure 3</w:t>
      </w:r>
      <w:r w:rsidR="005D292D">
        <w:fldChar w:fldCharType="end"/>
      </w:r>
      <w:r w:rsidR="005D292D">
        <w:t>).</w:t>
      </w:r>
      <w:r w:rsidR="003E7135">
        <w:t xml:space="preserve"> Of these 42 EcMuscle MCL clusters with co-clusters, 35 were enriched for 1 or more GO/KEGG term and 7 showed no overlap with either ontology </w:t>
      </w:r>
      <w:r w:rsidR="003E7135">
        <w:fldChar w:fldCharType="begin"/>
      </w:r>
      <w:r w:rsidR="003E7135">
        <w:instrText xml:space="preserve"> REF _Ref35862539 \h </w:instrText>
      </w:r>
      <w:r w:rsidR="003E7135">
        <w:fldChar w:fldCharType="separate"/>
      </w:r>
      <w:r w:rsidR="003E7135">
        <w:t>Table 2</w:t>
      </w:r>
      <w:r w:rsidR="003E7135">
        <w:fldChar w:fldCharType="end"/>
      </w:r>
      <w:r w:rsidR="003E7135">
        <w:t>.</w:t>
      </w:r>
      <w:r w:rsidR="008F13EE">
        <w:t xml:space="preserve"> </w:t>
      </w:r>
      <w:r w:rsidR="003E7135">
        <w:t>Similarly, there were 24 EcMuscle MCL clusters that showed no significant co-clustering with the EcAdipose network. Of these, 10 MCL clusters were enriched for at least 1 GO/KEGG term while 14 were neither co-clustered nor enriched for any ontological term.</w:t>
      </w:r>
    </w:p>
    <w:p w14:paraId="4354892C" w14:textId="6FD63FD2" w:rsidR="003E7135" w:rsidRDefault="003E7135" w:rsidP="00BA6848">
      <w:r>
        <w:t>A similar breakdown of overlap between MCL terms in the EcAdipose network was found. O</w:t>
      </w:r>
      <w:r w:rsidR="004B7F32">
        <w:t xml:space="preserve">f the 107 gene clusters in the EcAdipose network, </w:t>
      </w:r>
      <w:r w:rsidR="00E67E80">
        <w:t>55</w:t>
      </w:r>
      <w:r w:rsidR="004B7F32">
        <w:t xml:space="preserve"> (</w:t>
      </w:r>
      <w:r w:rsidR="00E67E80">
        <w:t>51.4</w:t>
      </w:r>
      <w:r w:rsidR="004B7F32">
        <w:t>%)</w:t>
      </w:r>
      <w:r w:rsidR="00117319">
        <w:t xml:space="preserve"> gene clusters </w:t>
      </w:r>
      <w:r w:rsidR="00EF0568">
        <w:t xml:space="preserve">co-clustered in </w:t>
      </w:r>
      <w:r w:rsidR="00117319">
        <w:t xml:space="preserve">the EcMuscle network </w:t>
      </w:r>
      <w:r w:rsidR="00EF0568">
        <w:t>having</w:t>
      </w:r>
      <w:r w:rsidR="00117319">
        <w:t xml:space="preserve"> between 1 and 9 co-clusters</w:t>
      </w:r>
      <w:r w:rsidR="00E63174">
        <w:t xml:space="preserve"> (</w:t>
      </w:r>
      <w:r w:rsidR="00E63174">
        <w:fldChar w:fldCharType="begin"/>
      </w:r>
      <w:r w:rsidR="00E63174">
        <w:instrText xml:space="preserve"> REF _Ref34923037 \h </w:instrText>
      </w:r>
      <w:r w:rsidR="00E63174">
        <w:fldChar w:fldCharType="separate"/>
      </w:r>
      <w:r w:rsidR="00E63174">
        <w:t>Figure 3</w:t>
      </w:r>
      <w:r w:rsidR="00E63174">
        <w:fldChar w:fldCharType="end"/>
      </w:r>
      <w:r w:rsidR="00E63174">
        <w:t>)</w:t>
      </w:r>
      <w:r w:rsidR="00117319">
        <w:t>.</w:t>
      </w:r>
      <w:r>
        <w:t xml:space="preserve"> There were 35 EcAdipose MCL terms with co-clusters that also had 1 or more significant enrichment for GO/KEGG terms and 7 with no significant overlap. Of the 25 EcAdipose MCL clusters with no significant muscle co-clusters, 10 were enriched for at least 1 GO/KEGG term while 14 showed neither</w:t>
      </w:r>
      <w:r w:rsidR="000B18E7">
        <w:t xml:space="preserve"> </w:t>
      </w:r>
      <w:r w:rsidR="000B18E7">
        <w:fldChar w:fldCharType="begin"/>
      </w:r>
      <w:r w:rsidR="000B18E7">
        <w:instrText xml:space="preserve"> REF _Ref35862539 \h </w:instrText>
      </w:r>
      <w:r w:rsidR="000B18E7">
        <w:fldChar w:fldCharType="separate"/>
      </w:r>
      <w:r w:rsidR="000B18E7">
        <w:t>Table 2</w:t>
      </w:r>
      <w:r w:rsidR="000B18E7">
        <w:fldChar w:fldCharType="end"/>
      </w:r>
      <w:r>
        <w:t>.</w:t>
      </w:r>
      <w:r w:rsidR="00051DFC">
        <w:t xml:space="preserve"> </w:t>
      </w:r>
    </w:p>
    <w:p w14:paraId="09957EF2" w14:textId="23B445A5" w:rsidR="006511F1" w:rsidRDefault="00D650AA" w:rsidP="00BA6848">
      <w:r>
        <w:t xml:space="preserve">Overall, functional overlap of network MCL clusters was similar between GO and KEGG. </w:t>
      </w:r>
      <w:r w:rsidR="00597918">
        <w:t>In cases where MCL clusters</w:t>
      </w:r>
      <w:r w:rsidR="00597918">
        <w:t xml:space="preserve"> from either network</w:t>
      </w:r>
      <w:r w:rsidR="00597918">
        <w:t xml:space="preserve"> significantly overlapped with GO/KEGG terms (regardless</w:t>
      </w:r>
      <w:r w:rsidR="00597918">
        <w:t xml:space="preserve"> of co-clustering state</w:t>
      </w:r>
      <w:r w:rsidR="00597918">
        <w:t>)</w:t>
      </w:r>
      <w:r w:rsidR="00F37945">
        <w:t>. T</w:t>
      </w:r>
      <w:r w:rsidR="00597918">
        <w:t xml:space="preserve">here were zero cases </w:t>
      </w:r>
      <w:r>
        <w:t>in which</w:t>
      </w:r>
      <w:r w:rsidR="00597918">
        <w:t xml:space="preserve"> MCL clusters </w:t>
      </w:r>
      <w:r w:rsidR="00597918">
        <w:t>showed significant overlap</w:t>
      </w:r>
      <w:r w:rsidR="00597918">
        <w:t xml:space="preserve"> in</w:t>
      </w:r>
      <w:r w:rsidR="00597918">
        <w:t xml:space="preserve"> one ontology and not the other</w:t>
      </w:r>
      <w:r w:rsidR="00BB082C">
        <w:t xml:space="preserve"> (</w:t>
      </w:r>
      <w:r w:rsidR="00BB082C">
        <w:fldChar w:fldCharType="begin"/>
      </w:r>
      <w:r w:rsidR="00BB082C">
        <w:instrText xml:space="preserve"> REF _Ref34749007 \h </w:instrText>
      </w:r>
      <w:r w:rsidR="00BB082C">
        <w:fldChar w:fldCharType="separate"/>
      </w:r>
      <w:r w:rsidR="00BB082C">
        <w:t>Supp. Dataset 7</w:t>
      </w:r>
      <w:r w:rsidR="00BB082C">
        <w:fldChar w:fldCharType="end"/>
      </w:r>
      <w:r w:rsidR="00BB082C">
        <w:t>)</w:t>
      </w:r>
      <w:r w:rsidR="00597918">
        <w:t xml:space="preserve">. </w:t>
      </w:r>
      <w:r w:rsidR="00BB082C">
        <w:t>In both networks, GO covered proportionally more clusters than KEGG, having overlap in 45</w:t>
      </w:r>
      <w:r w:rsidR="00F37945">
        <w:t xml:space="preserve"> of </w:t>
      </w:r>
      <w:r w:rsidR="00BB082C">
        <w:t>66 (68.2%) EcMuscle and 56</w:t>
      </w:r>
      <w:r w:rsidR="00F37945">
        <w:t xml:space="preserve"> of </w:t>
      </w:r>
      <w:r w:rsidR="00BB082C">
        <w:t>107 (52.3%) EcAdipose MCL clusters compared to KEGG’s 6</w:t>
      </w:r>
      <w:r w:rsidR="00F37945">
        <w:t xml:space="preserve"> of </w:t>
      </w:r>
      <w:r w:rsidR="00BB082C">
        <w:t>66 (9.1%) EcMuscle and 7</w:t>
      </w:r>
      <w:r w:rsidR="00F37945">
        <w:t xml:space="preserve"> of </w:t>
      </w:r>
      <w:r w:rsidR="00BB082C">
        <w:t>107 (6.5%)</w:t>
      </w:r>
      <w:r w:rsidR="00F37945">
        <w:t xml:space="preserve"> EcAdipose</w:t>
      </w:r>
      <w:r w:rsidR="00BB082C">
        <w:t xml:space="preserve"> MCL clusters</w:t>
      </w:r>
      <w:r w:rsidR="00F37945">
        <w:t xml:space="preserve"> (</w:t>
      </w:r>
      <w:r w:rsidR="00F37945">
        <w:fldChar w:fldCharType="begin"/>
      </w:r>
      <w:r w:rsidR="00F37945">
        <w:instrText xml:space="preserve"> REF _Ref35874177 \h </w:instrText>
      </w:r>
      <w:r w:rsidR="00F37945">
        <w:fldChar w:fldCharType="separate"/>
      </w:r>
      <w:r w:rsidR="00F37945">
        <w:t>Table 3</w:t>
      </w:r>
      <w:r w:rsidR="00F37945">
        <w:fldChar w:fldCharType="end"/>
      </w:r>
      <w:r w:rsidR="00F37945">
        <w:t>)</w:t>
      </w:r>
      <w:r w:rsidR="00BB082C">
        <w:t xml:space="preserve">. </w:t>
      </w:r>
      <w:r w:rsidR="00072337">
        <w:t>M</w:t>
      </w:r>
      <w:r w:rsidR="00BB082C">
        <w:t>any MCL clusters from each network showed enrichment with multiple GO/KEGG terms</w:t>
      </w:r>
      <w:r w:rsidR="00072337">
        <w:t xml:space="preserve"> with single clusters having up to 657 GO and 12 KEGG in the EcMuscle network and 414 GO and 19 KEGG in the EcAdipose Network.</w:t>
      </w:r>
    </w:p>
    <w:p w14:paraId="45A4496A" w14:textId="471858A5" w:rsidR="007379D6" w:rsidRDefault="007379D6" w:rsidP="00BA6848">
      <w:pPr>
        <w:pStyle w:val="Heading1"/>
      </w:pPr>
      <w:bookmarkStart w:id="2" w:name="_Ref34231029"/>
      <w:commentRangeStart w:id="3"/>
      <w:r>
        <w:t>Discussion</w:t>
      </w:r>
      <w:bookmarkEnd w:id="2"/>
      <w:commentRangeEnd w:id="3"/>
      <w:r w:rsidR="0006301E">
        <w:rPr>
          <w:rStyle w:val="CommentReference"/>
          <w:rFonts w:ascii="Times New Roman" w:eastAsiaTheme="minorHAnsi" w:hAnsi="Times New Roman" w:cs="Times New Roman"/>
          <w:color w:val="auto"/>
        </w:rPr>
        <w:commentReference w:id="3"/>
      </w:r>
    </w:p>
    <w:p w14:paraId="7BBEA281" w14:textId="5CB57AED" w:rsidR="009E7853" w:rsidRDefault="00C96DCE" w:rsidP="00C96DCE">
      <w:r>
        <w:t>Here, we built</w:t>
      </w:r>
      <w:r w:rsidR="009B744D">
        <w:t xml:space="preserve">, </w:t>
      </w:r>
      <w:r>
        <w:t>compared</w:t>
      </w:r>
      <w:r w:rsidR="009B744D">
        <w:t>, and contrasted</w:t>
      </w:r>
      <w:r>
        <w:t xml:space="preserve"> co-expression networks</w:t>
      </w:r>
      <w:r w:rsidR="009B744D">
        <w:t xml:space="preserve"> built from two different tissue</w:t>
      </w:r>
      <w:r w:rsidR="009E7853">
        <w:t>s</w:t>
      </w:r>
      <w:r w:rsidR="009B744D">
        <w:t xml:space="preserve"> </w:t>
      </w:r>
      <w:r w:rsidR="009E7853">
        <w:t>sourced from</w:t>
      </w:r>
      <w:r w:rsidR="009B744D">
        <w:t xml:space="preserve"> </w:t>
      </w:r>
      <w:r w:rsidR="00470E11">
        <w:t>a single</w:t>
      </w:r>
      <w:r w:rsidR="009B744D">
        <w:t xml:space="preserve"> cohort of individuals</w:t>
      </w:r>
      <w:r w:rsidR="00470E11">
        <w:t xml:space="preserve"> representing genotypic diversity across five different breeds. Since co-</w:t>
      </w:r>
      <w:r w:rsidR="00470E11">
        <w:lastRenderedPageBreak/>
        <w:t xml:space="preserve">expression networks were built based on gene expression profiles derived from genetically diverse individuals, similarities as well as differences could be assessed by directly comparing network interactions and structure. This is partially made possible since Camoco, the network computational framework we utilized, normalizes and scores network interactions to a </w:t>
      </w:r>
    </w:p>
    <w:p w14:paraId="0C0D9693" w14:textId="42C431FE" w:rsidR="00C96DCE" w:rsidRPr="00C96DCE" w:rsidRDefault="009E7853" w:rsidP="00C96DCE">
      <w:r>
        <w:t>Functional contexts were mapped using both supervised as well as unsupervised methods.</w:t>
      </w:r>
    </w:p>
    <w:p w14:paraId="7F11E4FF" w14:textId="0D15A8AD" w:rsidR="001220FA" w:rsidRDefault="001220FA" w:rsidP="00BA6848">
      <w:pPr>
        <w:pStyle w:val="ListParagraph"/>
        <w:numPr>
          <w:ilvl w:val="0"/>
          <w:numId w:val="2"/>
        </w:numPr>
      </w:pPr>
      <w:r>
        <w:t>Camoco normalizes and scores networks for comparison</w:t>
      </w:r>
    </w:p>
    <w:p w14:paraId="11E9092D" w14:textId="46FD50CF" w:rsidR="001B4FBD" w:rsidRDefault="001B4FBD" w:rsidP="00BA6848">
      <w:pPr>
        <w:pStyle w:val="ListParagraph"/>
        <w:numPr>
          <w:ilvl w:val="0"/>
          <w:numId w:val="2"/>
        </w:numPr>
      </w:pPr>
      <w:r>
        <w:t>DE is just simplified co-expression</w:t>
      </w:r>
    </w:p>
    <w:p w14:paraId="60F948D5" w14:textId="3EEC7FA1" w:rsidR="00CD07CC" w:rsidRDefault="00CD07CC" w:rsidP="00BA6848">
      <w:pPr>
        <w:pStyle w:val="ListParagraph"/>
        <w:numPr>
          <w:ilvl w:val="0"/>
          <w:numId w:val="2"/>
        </w:numPr>
      </w:pPr>
      <w:r>
        <w:t xml:space="preserve">GO and KEGG corroborate the same trends, however, they are not necessarily independent. </w:t>
      </w:r>
    </w:p>
    <w:p w14:paraId="5417053C" w14:textId="7C5E9178" w:rsidR="00F90FFB" w:rsidRDefault="00F90FFB" w:rsidP="00BA6848">
      <w:pPr>
        <w:pStyle w:val="ListParagraph"/>
        <w:numPr>
          <w:ilvl w:val="1"/>
          <w:numId w:val="2"/>
        </w:numPr>
      </w:pPr>
      <w:proofErr w:type="spellStart"/>
      <w:r>
        <w:t>Eg.</w:t>
      </w:r>
      <w:proofErr w:type="spellEnd"/>
      <w:r>
        <w:t xml:space="preserve"> </w:t>
      </w:r>
      <w:proofErr w:type="spellStart"/>
      <w:proofErr w:type="gramStart"/>
      <w:r>
        <w:t>EcKEGG</w:t>
      </w:r>
      <w:proofErr w:type="spellEnd"/>
      <w:r>
        <w:t>[</w:t>
      </w:r>
      <w:proofErr w:type="gramEnd"/>
      <w:r>
        <w:t>00230]: purine metabolism (124 genes) and GO:0006753 – nucleoside phosphate metabolic process (291 genes) share 75 genes (p &lt; 1.24e-102)</w:t>
      </w:r>
    </w:p>
    <w:p w14:paraId="138D39A4" w14:textId="12653CFD" w:rsidR="00CD07CC" w:rsidRDefault="00CD07CC" w:rsidP="00BA6848">
      <w:pPr>
        <w:pStyle w:val="ListParagraph"/>
        <w:numPr>
          <w:ilvl w:val="0"/>
          <w:numId w:val="2"/>
        </w:numPr>
      </w:pPr>
      <w:r>
        <w:t>GO annotations are really only helpful in aggregate, while some annotations “make sense” others are counter-intuitive.</w:t>
      </w:r>
    </w:p>
    <w:p w14:paraId="50E18436" w14:textId="0648AEEC" w:rsidR="00AB0913" w:rsidRDefault="00AB0913" w:rsidP="00AB0913">
      <w:pPr>
        <w:pStyle w:val="ListParagraph"/>
        <w:numPr>
          <w:ilvl w:val="1"/>
          <w:numId w:val="2"/>
        </w:numPr>
      </w:pPr>
      <w:r>
        <w:t xml:space="preserve">The score based method was </w:t>
      </w:r>
      <w:proofErr w:type="gramStart"/>
      <w:r>
        <w:t>more strict</w:t>
      </w:r>
      <w:proofErr w:type="gramEnd"/>
      <w:r>
        <w:t xml:space="preserve"> than the enrichment based method.</w:t>
      </w:r>
    </w:p>
    <w:p w14:paraId="5B231DD2" w14:textId="0BE5D4CA" w:rsidR="00CD07CC" w:rsidRPr="00CD07CC" w:rsidRDefault="00CD07CC" w:rsidP="00BA6848">
      <w:pPr>
        <w:pStyle w:val="ListParagraph"/>
        <w:numPr>
          <w:ilvl w:val="0"/>
          <w:numId w:val="2"/>
        </w:numPr>
      </w:pPr>
      <w:r>
        <w:t>Two tissues can provide some great insight, however it is only a start</w:t>
      </w:r>
    </w:p>
    <w:p w14:paraId="177B6407" w14:textId="501A1465" w:rsidR="004F4EB8" w:rsidRDefault="004F4EB8" w:rsidP="00BA6848">
      <w:r>
        <w:t xml:space="preserve">For example, high level biological processes important in all tissues were captured by such terms as </w:t>
      </w:r>
      <w:r w:rsidRPr="00696642">
        <w:t>GO:0016570</w:t>
      </w:r>
      <w:r>
        <w:t xml:space="preserve"> (281 genes) annotated for “histone modification” (EcMuscle p </w:t>
      </w:r>
      <w:r>
        <w:rPr>
          <w:rFonts w:cstheme="minorHAnsi"/>
        </w:rPr>
        <w:t xml:space="preserve">≤ </w:t>
      </w:r>
      <w:r>
        <w:t xml:space="preserve">0.001; EcAdipose p </w:t>
      </w:r>
      <w:r>
        <w:rPr>
          <w:rFonts w:cstheme="minorHAnsi"/>
        </w:rPr>
        <w:t xml:space="preserve">≤ </w:t>
      </w:r>
      <w:r>
        <w:t xml:space="preserve">0.001) and </w:t>
      </w:r>
      <w:r w:rsidRPr="00696642">
        <w:t>GO:0005667</w:t>
      </w:r>
      <w:r>
        <w:t xml:space="preserve"> (256 genes), “</w:t>
      </w:r>
      <w:r w:rsidRPr="00696642">
        <w:t>transcription factor complex</w:t>
      </w:r>
      <w:r>
        <w:t xml:space="preserve">” (EcMuscle p </w:t>
      </w:r>
      <w:r>
        <w:rPr>
          <w:rFonts w:cstheme="minorHAnsi"/>
        </w:rPr>
        <w:t>≤ 0.002; EcAdipose p ≤ 0.001</w:t>
      </w:r>
      <w:r>
        <w:t xml:space="preserve">) describe. Similarly, there were smaller, yet still ubiquitous terms describing more focused processes shared between EcMuscle and EcAdipose. For example, GO:1904851 (10 genes) describes “positive regulation of establishment of protein localization” (EcMuscle p </w:t>
      </w:r>
      <w:r>
        <w:rPr>
          <w:rFonts w:cstheme="minorHAnsi"/>
        </w:rPr>
        <w:t>≤ 0.001; EcAdipose p ≤ 0.001</w:t>
      </w:r>
      <w:r>
        <w:t xml:space="preserve">) and GO:0015986 (14 genes), “ATP synthesis coupled proton transport” (EcMuscle p </w:t>
      </w:r>
      <w:r>
        <w:rPr>
          <w:rFonts w:cstheme="minorHAnsi"/>
        </w:rPr>
        <w:t>≤ 0.001; EcAdipose p ≤ 0.001</w:t>
      </w:r>
      <w:r>
        <w:t xml:space="preserve">). See </w:t>
      </w:r>
      <w:r>
        <w:fldChar w:fldCharType="begin"/>
      </w:r>
      <w:r>
        <w:instrText xml:space="preserve"> REF _Ref34037231 \h </w:instrText>
      </w:r>
      <w:r>
        <w:fldChar w:fldCharType="separate"/>
      </w:r>
      <w:r>
        <w:t>Supp. Table 4</w:t>
      </w:r>
      <w:r>
        <w:fldChar w:fldCharType="end"/>
      </w:r>
      <w:r>
        <w:t xml:space="preserve"> for a description of all 899 GO Terms co-expressed in both networks.</w:t>
      </w:r>
    </w:p>
    <w:p w14:paraId="1D8F9D82" w14:textId="77777777" w:rsidR="004F4EB8" w:rsidRPr="004F4EB8" w:rsidRDefault="004F4EB8" w:rsidP="00BA6848"/>
    <w:p w14:paraId="2FFB3A56" w14:textId="7B09CA54" w:rsidR="00F565B5" w:rsidRDefault="00F565B5" w:rsidP="00BA6848">
      <w:pPr>
        <w:pStyle w:val="Heading1"/>
      </w:pPr>
      <w:bookmarkStart w:id="4" w:name="_Ref32829849"/>
      <w:r>
        <w:lastRenderedPageBreak/>
        <w:t>Materials and Methods</w:t>
      </w:r>
      <w:bookmarkEnd w:id="4"/>
    </w:p>
    <w:p w14:paraId="434FA60F" w14:textId="2CFE8F9F" w:rsidR="00F565B5" w:rsidRDefault="00D028DC" w:rsidP="00BA6848">
      <w:pPr>
        <w:pStyle w:val="Heading2"/>
      </w:pPr>
      <w:proofErr w:type="spellStart"/>
      <w:r>
        <w:t>RNASeq</w:t>
      </w:r>
      <w:proofErr w:type="spellEnd"/>
      <w:r w:rsidR="00F565B5">
        <w:t xml:space="preserve"> </w:t>
      </w:r>
      <w:r>
        <w:t>r</w:t>
      </w:r>
      <w:r w:rsidR="00F565B5">
        <w:t xml:space="preserve">ead </w:t>
      </w:r>
      <w:r>
        <w:t>m</w:t>
      </w:r>
      <w:r w:rsidR="00F565B5">
        <w:t>apping</w:t>
      </w:r>
      <w:r>
        <w:t xml:space="preserve"> and quantification</w:t>
      </w:r>
    </w:p>
    <w:p w14:paraId="23B6B7AB" w14:textId="4553030D" w:rsidR="00F565B5" w:rsidRDefault="006B2FA2" w:rsidP="00BA6848">
      <w:r>
        <w:t xml:space="preserve">RNA-seq </w:t>
      </w:r>
      <w:r w:rsidR="00F565B5">
        <w:t>Samples were split across multiple sequencing lanes and sequenced do a depth of between 2.4 and 15.7 million reads with an average of 4.2 +/- 1.5 million reads per sample. A RNA</w:t>
      </w:r>
      <w:r w:rsidR="00920814">
        <w:t>-s</w:t>
      </w:r>
      <w:r w:rsidR="00F565B5">
        <w:t>eq gene quantification pipeline was built using SnakeMake</w:t>
      </w:r>
      <w:r w:rsidR="004413F2">
        <w:t xml:space="preserve"> </w:t>
      </w:r>
      <w:r w:rsidR="00F565B5">
        <w:t>(v5.4.5)</w:t>
      </w:r>
      <w:r w:rsidR="004413F2">
        <w:t xml:space="preserve"> </w:t>
      </w:r>
      <w:r w:rsidR="004413F2">
        <w:fldChar w:fldCharType="begin" w:fldLock="1"/>
      </w:r>
      <w:r w:rsidR="00754297">
        <w:instrText>ADDIN CSL_CITATION {"citationItems":[{"id":"ITEM-1","itemData":{"DOI":"10.1093/bioinformatics/bts480","ISSN":"14602059","PMID":"29788404","abstract":"Snakemake is a workflow engine that provides a readable Python-based workflow definition language and a powerful execution environment that scales from single-core workstations to compute clusters without modifying the workflow. It is the first system to support the use of automatically inferred multiple named wildcards (or variables) in input and output filenames. © The Author 2012. Published by Oxford University Press. All rights reserved.","author":[{"dropping-particle":"","family":"Köster","given":"Johannes","non-dropping-particle":"","parse-names":false,"suffix":""},{"dropping-particle":"","family":"Rahmann","given":"Sven","non-dropping-particle":"","parse-names":false,"suffix":""}],"container-title":"Bioinformatics","id":"ITEM-1","issue":"19","issued":{"date-parts":[["2012"]]},"page":"2520-2522","title":"Snakemake-a scalable bioinformatics workflow engine","type":"article-journal","volume":"28"},"uris":["http://www.mendeley.com/documents/?uuid=732ff240-8d22-40fb-aa25-c6915903b0aa"]}],"mendeley":{"formattedCitation":"(Köster and Rahmann 2012)","plainTextFormattedCitation":"(Köster and Rahmann 2012)","previouslyFormattedCitation":"(Köster and Rahmann 2012)"},"properties":{"noteIndex":0},"schema":"https://github.com/citation-style-language/schema/raw/master/csl-citation.json"}</w:instrText>
      </w:r>
      <w:r w:rsidR="004413F2">
        <w:fldChar w:fldCharType="separate"/>
      </w:r>
      <w:r w:rsidR="00B55650" w:rsidRPr="00B55650">
        <w:rPr>
          <w:noProof/>
        </w:rPr>
        <w:t>(Köster and Rahmann 2012)</w:t>
      </w:r>
      <w:r w:rsidR="004413F2">
        <w:fldChar w:fldCharType="end"/>
      </w:r>
      <w:r w:rsidR="00F565B5">
        <w:t>. Adapter sequences were detected and trimmed from raw reads using AdapterRemoval (v2.2.2)</w:t>
      </w:r>
      <w:r w:rsidR="004413F2">
        <w:t xml:space="preserve"> </w:t>
      </w:r>
      <w:r w:rsidR="004413F2">
        <w:fldChar w:fldCharType="begin" w:fldLock="1"/>
      </w:r>
      <w:r w:rsidR="00754297">
        <w:instrText>ADDIN CSL_CITATION {"citationItems":[{"id":"ITEM-1","itemData":{"DOI":"10.1186/1756-0500-5-337","ISSN":"1756-0500","PMID":"22748135","abstract":"BACKGROUND: With the advent of next-generation sequencing there is an increased demand for tools to pre-process and handle the vast amounts of data generated. One recurring problem is adapter contamination in the reads, i.e. the partial or complete sequencing of adapter sequences. These adapter sequences have to be removed as they can hinder correct mapping of the reads and influence SNP calling and other downstream analyses.\n\nFINDINGS: We present a tool called AdapterRemoval which is able to pre-process both single and paired-end data. The program locates and removes adapter residues from the reads, it is able to combine paired reads if they overlap, and it can optionally trim low-quality nucleotides. Furthermore, it can look for adapter sequence in both the 5' and 3' ends of the reads. This is a flexible tool that can be tuned to accommodate different experimental settings and sequencing platforms producing FASTQ files. AdapterRemoval is shown to be good at trimming adapters from both single-end and paired-end data.\n\nCONCLUSIONS: AdapterRemoval is a comprehensive tool for analyzing next-generation sequencing data. It exhibits good performance both in terms of sensitivity and specificity. AdapterRemoval has already been used in various large projects and it is possible to extend it further to accommodate application-specific biases in the data.","author":[{"dropping-particle":"","family":"Lindgreen","given":"Stinus","non-dropping-particle":"","parse-names":false,"suffix":""}],"container-title":"BMC research notes","id":"ITEM-1","issue":"1","issued":{"date-parts":[["2012","1"]]},"page":"337","title":"AdapterRemoval: easy cleaning of next-generation sequencing reads.","type":"article-journal","volume":"5"},"uris":["http://www.mendeley.com/documents/?uuid=39b2382d-14cb-4889-8122-f312e1ddc850"]}],"mendeley":{"formattedCitation":"(Lindgreen 2012)","plainTextFormattedCitation":"(Lindgreen 2012)","previouslyFormattedCitation":"(Lindgreen 2012)"},"properties":{"noteIndex":0},"schema":"https://github.com/citation-style-language/schema/raw/master/csl-citation.json"}</w:instrText>
      </w:r>
      <w:r w:rsidR="004413F2">
        <w:fldChar w:fldCharType="separate"/>
      </w:r>
      <w:r w:rsidR="00B55650" w:rsidRPr="00B55650">
        <w:rPr>
          <w:noProof/>
        </w:rPr>
        <w:t>(Lindgreen 2012)</w:t>
      </w:r>
      <w:r w:rsidR="004413F2">
        <w:fldChar w:fldCharType="end"/>
      </w:r>
      <w:r w:rsidR="00F565B5">
        <w:t xml:space="preserve">. Gene expression levels were quantified using Salmon (v0.13.1) which uses a quasi-mapping algorithm. Prior to quantification, Salmon builds an index from a </w:t>
      </w:r>
      <w:r w:rsidR="00117E24">
        <w:t>FASTA</w:t>
      </w:r>
      <w:r w:rsidR="00F565B5">
        <w:t xml:space="preserve"> file containing known genomic transcripts. As a transcript file is not readily available for the horse, the longest transcript for each gene was calculated using LocusPocus (v0.2.0). Briefly, a </w:t>
      </w:r>
      <w:r w:rsidR="00D028DC">
        <w:t>L</w:t>
      </w:r>
      <w:r w:rsidR="00F565B5">
        <w:t xml:space="preserve">ocusPocus database was built using the NCBI EquCab3.0 reference genome and Gene Feature Format (GFF) file. Using LocusPocus, each mRNA feature listed in the GFF was queried, and the longest transcript was identified. The sequence for each exon in the transcript was concatenated and stored in a transcript </w:t>
      </w:r>
      <w:r w:rsidR="00C2359B">
        <w:t>FASTA</w:t>
      </w:r>
      <w:r w:rsidR="00F565B5">
        <w:t xml:space="preserve"> file. A salmon index was built using this custom transcript </w:t>
      </w:r>
      <w:proofErr w:type="spellStart"/>
      <w:r w:rsidR="00F565B5">
        <w:t>fasta</w:t>
      </w:r>
      <w:proofErr w:type="spellEnd"/>
      <w:r w:rsidR="00F565B5">
        <w:t xml:space="preserve"> file and TPM was calculated for each gene using `salmon quant` command resulting in a gene expression matrix for both Muscle and Adipose where rows are genes, columns are RNA</w:t>
      </w:r>
      <w:r w:rsidR="00777353">
        <w:t>-s</w:t>
      </w:r>
      <w:r w:rsidR="00F565B5">
        <w:t>eq accessions (n=81 Muscle; n=64 Adipose), and values are transcripts per million (TPM)</w:t>
      </w:r>
      <w:r w:rsidR="00D028DC">
        <w:t>.</w:t>
      </w:r>
    </w:p>
    <w:p w14:paraId="54364A36" w14:textId="110E8BAF" w:rsidR="00F565B5" w:rsidRDefault="00D028DC" w:rsidP="00BA6848">
      <w:pPr>
        <w:pStyle w:val="Heading2"/>
      </w:pPr>
      <w:r>
        <w:t>Constructing</w:t>
      </w:r>
      <w:r w:rsidR="00A464F1">
        <w:t xml:space="preserve"> and quality control of</w:t>
      </w:r>
      <w:r>
        <w:t xml:space="preserve"> gene co-expression networks</w:t>
      </w:r>
    </w:p>
    <w:p w14:paraId="678F6754" w14:textId="46AB6968" w:rsidR="00B43A24" w:rsidRDefault="00F565B5" w:rsidP="00BA6848">
      <w:r>
        <w:t>Camoco (v0.6.</w:t>
      </w:r>
      <w:r w:rsidR="00F15F9E">
        <w:t>4</w:t>
      </w:r>
      <w:r>
        <w:t>) was used to build gene co-expression networks from both Muscle and Adipose TPM matrices</w:t>
      </w:r>
      <w:r w:rsidR="006B2FA2">
        <w:t xml:space="preserve"> </w:t>
      </w:r>
      <w:r w:rsidR="00982EF4">
        <w:fldChar w:fldCharType="begin" w:fldLock="1"/>
      </w:r>
      <w:r w:rsidR="00754297">
        <w:instrText>ADDIN CSL_CITATION {"citationItems":[{"id":"ITEM-1","itemData":{"DOI":"10.1105/tpc.18.00299","ISBN":"0000000344272","ISSN":"1532298X","PMID":"30413654","abstract":"Genome-wide association studies (GWAS) have identified loci linked to hundreds of traits in many different species. Yet, because linkage equilibrium implicates a broad region surrounding each identified locus, the causal genes often remain unknown. This problem is especially pronounced in nonhuman, nonmodel species, where functional annotations are sparse and there is frequently little information available for prioritizing candidate genes. We developed a computational approach, Camoco, that integrates loci identified by GWAS with functional information derived from gene coexpression networks. Using Camoco, we prioritized candidate genes from a large-scale GWAS examining the accumulation of 17 different elements in maize (Zea mays) seeds. Strikingly, we observed a strong dependence in the performance of our approach based on the type of coexpression network used: expression variation across genetically diverse individuals in a relevant tissue context (in our case, roots that are the primary elemental uptake and delivery system) outperformed other alternative networks. Two candidate genes identified by our approach were validated using mutants. Our study demonstrates that coexpression networks provide a powerful basis for prioritizing candidate causal genes from GWAS loci but suggests that the success of such strategies can highly depend on the gene expression data context. Both the software and the lessons on integrating GWAS data with coexpression networks generalize to species beyond maize.","author":[{"dropping-particle":"","family":"Schaefer","given":"Robert J.","non-dropping-particle":"","parse-names":false,"suffix":""},{"dropping-particle":"","family":"Michno","given":"Jean Michel","non-dropping-particle":"","parse-names":false,"suffix":""},{"dropping-particle":"","family":"Jeffers","given":"Joseph","non-dropping-particle":"","parse-names":false,"suffix":""},{"dropping-particle":"","family":"Hoekenga","given":"Owen","non-dropping-particle":"","parse-names":false,"suffix":""},{"dropping-particle":"","family":"Dilkes","given":"Brian","non-dropping-particle":"","parse-names":false,"suffix":""},{"dropping-particle":"","family":"Baxter","given":"Ivan","non-dropping-particle":"","parse-names":false,"suffix":""},{"dropping-particle":"","family":"Myersc","given":"Chad L.","non-dropping-particle":"","parse-names":false,"suffix":""}],"container-title":"Plant Cell","id":"ITEM-1","issue":"12","issued":{"date-parts":[["2018"]]},"page":"2922-2942","title":"Integrating coexpression networks with GWAS to prioritize causal genes in maize","type":"article-journal","volume":"30"},"uris":["http://www.mendeley.com/documents/?uuid=af2f34d5-5051-4c7d-97f8-088e0597f5b0"]}],"mendeley":{"formattedCitation":"(Schaefer et al. 2018)","plainTextFormattedCitation":"(Schaefer et al. 2018)","previouslyFormattedCitation":"(Schaefer et al. 2018)"},"properties":{"noteIndex":0},"schema":"https://github.com/citation-style-language/schema/raw/master/csl-citation.json"}</w:instrText>
      </w:r>
      <w:r w:rsidR="00982EF4">
        <w:fldChar w:fldCharType="separate"/>
      </w:r>
      <w:r w:rsidR="00B55650" w:rsidRPr="00B55650">
        <w:rPr>
          <w:noProof/>
        </w:rPr>
        <w:t>(Schaefer et al. 2018)</w:t>
      </w:r>
      <w:r w:rsidR="00982EF4">
        <w:fldChar w:fldCharType="end"/>
      </w:r>
      <w:r>
        <w:t xml:space="preserve">. First, Camoco </w:t>
      </w:r>
      <w:r w:rsidR="006B2FA2">
        <w:t>‘</w:t>
      </w:r>
      <w:proofErr w:type="spellStart"/>
      <w:r>
        <w:t>RefGen</w:t>
      </w:r>
      <w:proofErr w:type="spellEnd"/>
      <w:r w:rsidR="006B2FA2">
        <w:t>’</w:t>
      </w:r>
      <w:r>
        <w:t xml:space="preserve"> databases were built from the NCBI GFF files using the `build-</w:t>
      </w:r>
      <w:proofErr w:type="spellStart"/>
      <w:r>
        <w:t>refgen</w:t>
      </w:r>
      <w:proofErr w:type="spellEnd"/>
      <w:r>
        <w:t>`, a gene ontology database was built using the `build-go` command and finally, networks were built for both Muscle and Adipose using the `build-cob` command. Quality control was run on both networks</w:t>
      </w:r>
      <w:r w:rsidR="00F15F9E">
        <w:t>: gene TPM values below 0.001 were excluded from correlation calculation;</w:t>
      </w:r>
      <w:r>
        <w:t xml:space="preserve"> genes with &gt;30% missing data</w:t>
      </w:r>
      <w:r w:rsidR="00F15F9E">
        <w:t xml:space="preserve"> were removed;</w:t>
      </w:r>
      <w:r>
        <w:t xml:space="preserve"> accessions with more than 50% missing data were removed</w:t>
      </w:r>
      <w:r w:rsidR="00F15F9E">
        <w:t>; and to be included in the network, a gene must have had a TPM &gt; 0.08 in at least one accession</w:t>
      </w:r>
      <w:r>
        <w:t xml:space="preserve">. </w:t>
      </w:r>
    </w:p>
    <w:p w14:paraId="5B9AE1D9" w14:textId="437DB22C" w:rsidR="00F565B5" w:rsidRDefault="00B43A24" w:rsidP="00BA6848">
      <w:r>
        <w:lastRenderedPageBreak/>
        <w:t>Gene clusters were identified using the an implementation of the Markov</w:t>
      </w:r>
      <w:r w:rsidR="00704712">
        <w:t xml:space="preserve"> graph</w:t>
      </w:r>
      <w:r>
        <w:t xml:space="preserve"> </w:t>
      </w:r>
      <w:r w:rsidR="00704712">
        <w:t>c</w:t>
      </w:r>
      <w:r>
        <w:t xml:space="preserve">lustering algorithm (MCL) </w:t>
      </w:r>
      <w:r w:rsidR="00DF4B0D">
        <w:t>which simulate</w:t>
      </w:r>
      <w:r w:rsidR="00704712">
        <w:t>s</w:t>
      </w:r>
      <w:r w:rsidR="00DF4B0D">
        <w:t xml:space="preserve"> a random walk throughout the network to identify </w:t>
      </w:r>
      <w:r w:rsidR="00D953FE">
        <w:t xml:space="preserve">tightly clustered genes </w:t>
      </w:r>
      <w:r>
        <w:fldChar w:fldCharType="begin" w:fldLock="1"/>
      </w:r>
      <w:r w:rsidR="002A3CE7">
        <w:instrText>ADDIN CSL_CITATION {"citationItems":[{"id":"ITEM-1","itemData":{"author":[{"dropping-particle":"van","family":"Dongen","given":"Stijn","non-dropping-particle":"","parse-names":false,"suffix":""}],"container-title":"http://micans.org/mcl","id":"ITEM-1","issued":{"date-parts":[["2000"]]},"publisher":"Center for Information Workshop","title":"MCL—a cluster algorithm for graphs","type":"webpage"},"uris":["http://www.mendeley.com/documents/?uuid=4a183e2c-f011-48fb-9cc5-2d162987f162"]}],"mendeley":{"formattedCitation":"(Dongen 2000)","plainTextFormattedCitation":"(Dongen 2000)","previouslyFormattedCitation":"(Dongen 2000)"},"properties":{"noteIndex":0},"schema":"https://github.com/citation-style-language/schema/raw/master/csl-citation.json"}</w:instrText>
      </w:r>
      <w:r>
        <w:fldChar w:fldCharType="separate"/>
      </w:r>
      <w:r w:rsidRPr="00B43A24">
        <w:rPr>
          <w:noProof/>
        </w:rPr>
        <w:t>(Dongen 2000)</w:t>
      </w:r>
      <w:r>
        <w:fldChar w:fldCharType="end"/>
      </w:r>
      <w:r>
        <w:t>.</w:t>
      </w:r>
      <w:r w:rsidR="008E0E73">
        <w:t xml:space="preserve"> </w:t>
      </w:r>
      <w:r w:rsidR="0081628D">
        <w:t xml:space="preserve">Network node coordinates were calculated and visualized using the </w:t>
      </w:r>
      <w:proofErr w:type="spellStart"/>
      <w:r w:rsidR="0081628D">
        <w:t>camoco</w:t>
      </w:r>
      <w:proofErr w:type="spellEnd"/>
      <w:r w:rsidR="0081628D">
        <w:t xml:space="preserve"> `</w:t>
      </w:r>
      <w:proofErr w:type="spellStart"/>
      <w:r w:rsidR="0081628D">
        <w:t>plot_network</w:t>
      </w:r>
      <w:proofErr w:type="spellEnd"/>
      <w:r w:rsidR="0081628D">
        <w:t xml:space="preserve">` command. In this view, network nodes are plotted in two-dimensional space based on the strength and number of interactions among neighbors using the ForceAtlas2 algorithm. Gene clusters in each network were </w:t>
      </w:r>
      <w:r w:rsidR="000D21D0">
        <w:t>distinguished</w:t>
      </w:r>
      <w:r w:rsidR="0081628D">
        <w:t xml:space="preserve"> with a different node color and dotted ellipses in each plot show the approximate boundaries of the top 10 largest clusters in each network.</w:t>
      </w:r>
    </w:p>
    <w:p w14:paraId="36EF5F58" w14:textId="517E8BA7" w:rsidR="00A57FE5" w:rsidRDefault="00A57FE5" w:rsidP="00BA6848">
      <w:pPr>
        <w:pStyle w:val="Heading2"/>
      </w:pPr>
      <w:r>
        <w:t xml:space="preserve">Calculating network density among </w:t>
      </w:r>
      <w:r w:rsidR="002A1238">
        <w:t>Gene O</w:t>
      </w:r>
      <w:r>
        <w:t>ntolog</w:t>
      </w:r>
      <w:r w:rsidR="002A1238">
        <w:t>y (GO)</w:t>
      </w:r>
      <w:r>
        <w:t xml:space="preserve"> terms</w:t>
      </w:r>
    </w:p>
    <w:p w14:paraId="242AFF00" w14:textId="7611738A" w:rsidR="00A464F1" w:rsidRDefault="00A464F1" w:rsidP="00BA6848">
      <w:r w:rsidRPr="00A464F1">
        <w:t>Subnetwork density is formulated as the average interaction strength between all (un</w:t>
      </w:r>
      <w:r>
        <w:t>-</w:t>
      </w:r>
      <w:proofErr w:type="spellStart"/>
      <w:r w:rsidRPr="00A464F1">
        <w:t>thresholded</w:t>
      </w:r>
      <w:proofErr w:type="spellEnd"/>
      <w:r w:rsidRPr="00A464F1">
        <w:t>) pairwise combinations of input genes, normalized for the total number of input gene pairs:</w:t>
      </w:r>
    </w:p>
    <w:p w14:paraId="233593E4" w14:textId="622DE82B" w:rsidR="00A57FE5" w:rsidRDefault="00A57FE5" w:rsidP="00BA6848">
      <w:pPr>
        <w:pStyle w:val="Heading3"/>
      </w:pPr>
      <w:bookmarkStart w:id="5" w:name="_Ref34036298"/>
      <w:r>
        <w:t>Equation 1</w:t>
      </w:r>
      <w:bookmarkEnd w:id="5"/>
    </w:p>
    <w:p w14:paraId="1630B089" w14:textId="4ECB2613" w:rsidR="00E36A81" w:rsidRPr="00E36A81" w:rsidRDefault="00E36A81" w:rsidP="00BA6848">
      <m:oMathPara>
        <m:oMath>
          <m:r>
            <w:rPr>
              <w:rFonts w:ascii="Cambria Math" w:hAnsi="Cambria Math"/>
            </w:rPr>
            <m:t>Subnetwork</m:t>
          </m:r>
          <m:r>
            <m:rPr>
              <m:sty m:val="p"/>
            </m:rPr>
            <w:rPr>
              <w:rFonts w:ascii="Cambria Math" w:hAnsi="Cambria Math"/>
            </w:rPr>
            <m:t xml:space="preserve"> </m:t>
          </m:r>
          <m:r>
            <w:rPr>
              <w:rFonts w:ascii="Cambria Math" w:hAnsi="Cambria Math"/>
            </w:rPr>
            <m:t>Density</m:t>
          </m:r>
          <m:d>
            <m:dPr>
              <m:ctrlPr>
                <w:rPr>
                  <w:rFonts w:ascii="Cambria Math" w:hAnsi="Cambria Math"/>
                </w:rPr>
              </m:ctrlPr>
            </m:dPr>
            <m:e>
              <m:r>
                <w:rPr>
                  <w:rFonts w:ascii="Cambria Math" w:hAnsi="Cambria Math"/>
                </w:rPr>
                <m:t>subnetwork</m:t>
              </m:r>
              <m:r>
                <m:rPr>
                  <m:sty m:val="p"/>
                </m:rPr>
                <w:rPr>
                  <w:rFonts w:ascii="Cambria Math" w:hAnsi="Cambria Math"/>
                </w:rPr>
                <m:t xml:space="preserve"> </m:t>
              </m:r>
              <m:r>
                <w:rPr>
                  <w:rFonts w:ascii="Cambria Math" w:hAnsi="Cambria Math"/>
                </w:rPr>
                <m:t>S</m:t>
              </m:r>
            </m:e>
          </m:d>
          <m:r>
            <m:rPr>
              <m:sty m:val="p"/>
            </m:rPr>
            <w:rPr>
              <w:rFonts w:ascii="Cambria Math" w:hAnsi="Cambria Math"/>
            </w:rPr>
            <m:t xml:space="preserve">= </m:t>
          </m:r>
          <m:f>
            <m:fPr>
              <m:ctrlPr>
                <w:rPr>
                  <w:rFonts w:ascii="Cambria Math" w:hAnsi="Cambria Math"/>
                </w:rPr>
              </m:ctrlPr>
            </m:fPr>
            <m:num>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all</m:t>
                  </m:r>
                  <m:r>
                    <m:rPr>
                      <m:sty m:val="p"/>
                    </m:rPr>
                    <w:rPr>
                      <w:rFonts w:ascii="Cambria Math" w:hAnsi="Cambria Math"/>
                    </w:rPr>
                    <m:t xml:space="preserve"> </m:t>
                  </m:r>
                  <m:r>
                    <w:rPr>
                      <w:rFonts w:ascii="Cambria Math" w:hAnsi="Cambria Math"/>
                    </w:rPr>
                    <m:t>gene</m:t>
                  </m:r>
                  <m:r>
                    <m:rPr>
                      <m:sty m:val="p"/>
                    </m:rPr>
                    <w:rPr>
                      <w:rFonts w:ascii="Cambria Math" w:hAnsi="Cambria Math"/>
                    </w:rPr>
                    <m:t xml:space="preserve"> </m:t>
                  </m:r>
                  <m:r>
                    <w:rPr>
                      <w:rFonts w:ascii="Cambria Math" w:hAnsi="Cambria Math"/>
                    </w:rPr>
                    <m:t>pairs</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 xml:space="preserve"> ∈</m:t>
                  </m:r>
                  <m:r>
                    <w:rPr>
                      <w:rFonts w:ascii="Cambria Math" w:hAnsi="Cambria Math"/>
                    </w:rPr>
                    <m:t>S</m:t>
                  </m:r>
                  <m:r>
                    <m:rPr>
                      <m:sty m:val="p"/>
                    </m:rPr>
                    <w:rPr>
                      <w:rFonts w:ascii="Cambria Math" w:hAnsi="Cambria Math"/>
                    </w:rPr>
                    <m:t xml:space="preserve">, </m:t>
                  </m:r>
                  <m:r>
                    <w:rPr>
                      <w:rFonts w:ascii="Cambria Math" w:hAnsi="Cambria Math"/>
                    </w:rPr>
                    <m:t>i</m:t>
                  </m:r>
                  <m:r>
                    <m:rPr>
                      <m:sty m:val="p"/>
                    </m:rPr>
                    <w:rPr>
                      <w:rFonts w:ascii="Cambria Math" w:hAnsi="Cambria Math"/>
                    </w:rPr>
                    <m:t>≠</m:t>
                  </m:r>
                  <m:r>
                    <w:rPr>
                      <w:rFonts w:ascii="Cambria Math" w:hAnsi="Cambria Math"/>
                    </w:rPr>
                    <m:t>j</m:t>
                  </m:r>
                </m:sub>
                <m:sup/>
                <m:e>
                  <m:sSub>
                    <m:sSubPr>
                      <m:ctrlPr>
                        <w:rPr>
                          <w:rFonts w:ascii="Cambria Math" w:hAnsi="Cambria Math"/>
                        </w:rPr>
                      </m:ctrlPr>
                    </m:sSubPr>
                    <m:e>
                      <m:r>
                        <w:rPr>
                          <w:rFonts w:ascii="Cambria Math" w:hAnsi="Cambria Math"/>
                        </w:rPr>
                        <m:t>w</m:t>
                      </m:r>
                    </m:e>
                    <m:sub>
                      <m:r>
                        <w:rPr>
                          <w:rFonts w:ascii="Cambria Math" w:hAnsi="Cambria Math"/>
                        </w:rPr>
                        <m:t>ij</m:t>
                      </m:r>
                    </m:sub>
                  </m:sSub>
                </m:e>
              </m:nary>
              <m:r>
                <m:rPr>
                  <m:sty m:val="p"/>
                </m:rPr>
                <w:rPr>
                  <w:rFonts w:ascii="Cambria Math" w:hAnsi="Cambria Math"/>
                </w:rPr>
                <m:t>)</m:t>
              </m:r>
            </m:num>
            <m:den>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ad>
                    <m:radPr>
                      <m:degHide m:val="1"/>
                      <m:ctrlPr>
                        <w:rPr>
                          <w:rFonts w:ascii="Cambria Math" w:hAnsi="Cambria Math"/>
                        </w:rPr>
                      </m:ctrlPr>
                    </m:radPr>
                    <m:deg/>
                    <m:e>
                      <m:sSub>
                        <m:sSubPr>
                          <m:ctrlPr>
                            <w:rPr>
                              <w:rFonts w:ascii="Cambria Math" w:hAnsi="Cambria Math"/>
                            </w:rPr>
                          </m:ctrlPr>
                        </m:sSubPr>
                        <m:e>
                          <m:r>
                            <w:rPr>
                              <w:rFonts w:ascii="Cambria Math" w:hAnsi="Cambria Math"/>
                            </w:rPr>
                            <m:t>N</m:t>
                          </m:r>
                        </m:e>
                        <m:sub>
                          <m:r>
                            <w:rPr>
                              <w:rFonts w:ascii="Cambria Math" w:hAnsi="Cambria Math"/>
                            </w:rPr>
                            <m:t>e</m:t>
                          </m:r>
                        </m:sub>
                      </m:sSub>
                    </m:e>
                  </m:rad>
                </m:den>
              </m:f>
              <m:r>
                <m:rPr>
                  <m:sty m:val="p"/>
                </m:rPr>
                <w:rPr>
                  <w:rFonts w:ascii="Cambria Math" w:hAnsi="Cambria Math"/>
                </w:rPr>
                <m:t>)</m:t>
              </m:r>
            </m:den>
          </m:f>
        </m:oMath>
      </m:oMathPara>
    </w:p>
    <w:p w14:paraId="4A6DB908" w14:textId="4BA36F6B" w:rsidR="00A464F1" w:rsidRDefault="00A57FE5" w:rsidP="00BA6848">
      <w:r w:rsidRPr="00A57FE5">
        <w:t xml:space="preserve">where </w:t>
      </w:r>
      <w:proofErr w:type="spellStart"/>
      <w:r w:rsidRPr="00A57FE5">
        <w:t>w</w:t>
      </w:r>
      <w:r w:rsidRPr="00A57FE5">
        <w:rPr>
          <w:sz w:val="20"/>
          <w:szCs w:val="20"/>
          <w:vertAlign w:val="subscript"/>
        </w:rPr>
        <w:t>ij</w:t>
      </w:r>
      <w:proofErr w:type="spellEnd"/>
      <w:r w:rsidRPr="00A57FE5">
        <w:t xml:space="preserve"> is the co</w:t>
      </w:r>
      <w:r>
        <w:t>-</w:t>
      </w:r>
      <w:r w:rsidRPr="00A57FE5">
        <w:t xml:space="preserve">expression score between genes </w:t>
      </w:r>
      <w:proofErr w:type="spellStart"/>
      <w:r w:rsidRPr="00A57FE5">
        <w:t>i</w:t>
      </w:r>
      <w:proofErr w:type="spellEnd"/>
      <w:r w:rsidRPr="00A57FE5">
        <w:t xml:space="preserve"> and j</w:t>
      </w:r>
      <w:r w:rsidR="00051D9D">
        <w:t>,</w:t>
      </w:r>
      <w:r w:rsidRPr="00A57FE5">
        <w:t xml:space="preserve"> and N</w:t>
      </w:r>
      <w:r w:rsidRPr="00A57FE5">
        <w:rPr>
          <w:vertAlign w:val="subscript"/>
        </w:rPr>
        <w:t>e</w:t>
      </w:r>
      <w:r w:rsidRPr="00A57FE5">
        <w:t xml:space="preserve"> is the total number of pairwise, non</w:t>
      </w:r>
      <w:r>
        <w:t>-</w:t>
      </w:r>
      <w:r w:rsidRPr="00A57FE5">
        <w:t>self</w:t>
      </w:r>
      <w:r w:rsidR="007A3A87">
        <w:t>,</w:t>
      </w:r>
      <w:r w:rsidRPr="00A57FE5">
        <w:t xml:space="preserve"> </w:t>
      </w:r>
      <w:r>
        <w:t>co-expression</w:t>
      </w:r>
      <w:r w:rsidRPr="00A57FE5">
        <w:t xml:space="preserve"> interactions in the subnetwork.</w:t>
      </w:r>
    </w:p>
    <w:p w14:paraId="3AE56197" w14:textId="5DBBEDE1" w:rsidR="00901962" w:rsidRDefault="00901962" w:rsidP="00BA6848">
      <w:r>
        <w:t xml:space="preserve">Gene ontology term descriptions and gene mappings for the horse were downloaded from ensemble </w:t>
      </w:r>
      <w:proofErr w:type="spellStart"/>
      <w:r>
        <w:t>BioMart</w:t>
      </w:r>
      <w:proofErr w:type="spellEnd"/>
      <w:r w:rsidR="00CC3FD4">
        <w:t xml:space="preserve"> (https://e</w:t>
      </w:r>
      <w:r w:rsidR="00C900F5">
        <w:t>n</w:t>
      </w:r>
      <w:r w:rsidR="00CC3FD4">
        <w:t>sembl.or</w:t>
      </w:r>
      <w:r w:rsidR="00C900F5">
        <w:t>g</w:t>
      </w:r>
      <w:r w:rsidR="00CC3FD4">
        <w:t>)</w:t>
      </w:r>
      <w:r>
        <w:t>. A Camoco GO database was built using the `build-go` command. Network density was calculated in both EcMuscle and EcAdipose networks among genes</w:t>
      </w:r>
      <w:r w:rsidR="00377BD1">
        <w:t xml:space="preserve"> co-annotated</w:t>
      </w:r>
      <w:r>
        <w:t xml:space="preserve"> within GO terms </w:t>
      </w:r>
      <w:r w:rsidR="00377BD1">
        <w:t>having</w:t>
      </w:r>
      <w:r>
        <w:t xml:space="preserve"> at least 30 and at most 300 genes</w:t>
      </w:r>
      <w:r w:rsidR="00CF3847">
        <w:t xml:space="preserve"> (represent</w:t>
      </w:r>
      <w:r w:rsidR="00076384">
        <w:t>ing</w:t>
      </w:r>
      <w:r w:rsidR="00CF3847">
        <w:t xml:space="preserve"> medium sized biological processes)</w:t>
      </w:r>
      <w:r>
        <w:t>. Density p-values were calculated by comparing the empirical density scores to random sets of input genes</w:t>
      </w:r>
      <w:r w:rsidR="0088207C">
        <w:t xml:space="preserve"> (n=1</w:t>
      </w:r>
      <w:r w:rsidR="008A5B9E">
        <w:t>,</w:t>
      </w:r>
      <w:r w:rsidR="0088207C">
        <w:t>000)</w:t>
      </w:r>
      <w:r>
        <w:t>, conserving the number of genes in each GO term.</w:t>
      </w:r>
    </w:p>
    <w:p w14:paraId="0DA1A962" w14:textId="2F823CB1" w:rsidR="008D73B6" w:rsidRDefault="008D73B6" w:rsidP="00BA6848">
      <w:pPr>
        <w:pStyle w:val="Heading2"/>
      </w:pPr>
      <w:r>
        <w:t>Calculating network co-clustering</w:t>
      </w:r>
    </w:p>
    <w:p w14:paraId="49EB1C20" w14:textId="27BF9D30" w:rsidR="008D73B6" w:rsidRPr="008D73B6" w:rsidRDefault="008D73B6" w:rsidP="00BA6848">
      <w:r>
        <w:t xml:space="preserve">Network gene clusters  </w:t>
      </w:r>
    </w:p>
    <w:p w14:paraId="2BA8C23A" w14:textId="576C3694" w:rsidR="00CD0604" w:rsidRDefault="00CD0604" w:rsidP="00BA6848">
      <w:pPr>
        <w:pStyle w:val="Heading2"/>
      </w:pPr>
      <w:r>
        <w:lastRenderedPageBreak/>
        <w:t>Figure</w:t>
      </w:r>
      <w:r w:rsidR="009319FF">
        <w:t xml:space="preserve"> and Table</w:t>
      </w:r>
      <w:r>
        <w:t xml:space="preserve"> Legends</w:t>
      </w:r>
    </w:p>
    <w:p w14:paraId="0C9983E2" w14:textId="6970CA7C" w:rsidR="009319FF" w:rsidRPr="001B05E5" w:rsidRDefault="009319FF" w:rsidP="00BA6848">
      <w:pPr>
        <w:pStyle w:val="Heading3"/>
      </w:pPr>
      <w:bookmarkStart w:id="6" w:name="_Ref32833816"/>
      <w:r w:rsidRPr="001B05E5">
        <w:t>Table 1</w:t>
      </w:r>
      <w:bookmarkEnd w:id="6"/>
    </w:p>
    <w:p w14:paraId="121A95BD" w14:textId="475FCE4C" w:rsidR="001B05E5" w:rsidRPr="008E31CE" w:rsidRDefault="001B05E5" w:rsidP="00BA6848">
      <w:pPr>
        <w:pStyle w:val="Quote"/>
        <w:rPr>
          <w:b/>
          <w:bCs/>
        </w:rPr>
      </w:pPr>
      <w:r w:rsidRPr="008E31CE">
        <w:rPr>
          <w:b/>
          <w:bCs/>
        </w:rPr>
        <w:t>RNA-seq sample summary.</w:t>
      </w:r>
    </w:p>
    <w:p w14:paraId="2714EEDC" w14:textId="52D13599" w:rsidR="001B05E5" w:rsidRDefault="001B05E5" w:rsidP="00BA6848">
      <w:pPr>
        <w:pStyle w:val="Quote"/>
      </w:pPr>
      <w:r w:rsidRPr="001B05E5">
        <w:t>Horses broken down by their tissue type (Adipose and Muscle) and breed.</w:t>
      </w:r>
    </w:p>
    <w:p w14:paraId="3F020593" w14:textId="7F42D297" w:rsidR="00507A59" w:rsidRDefault="00507A59" w:rsidP="00507A59">
      <w:pPr>
        <w:pStyle w:val="Heading3"/>
      </w:pPr>
      <w:bookmarkStart w:id="7" w:name="_Ref35862539"/>
      <w:r>
        <w:t>Table 2</w:t>
      </w:r>
      <w:bookmarkEnd w:id="7"/>
    </w:p>
    <w:p w14:paraId="3E2B3F9B" w14:textId="60D7F79A" w:rsidR="00507A59" w:rsidRDefault="00507A59" w:rsidP="00507A59">
      <w:pPr>
        <w:pStyle w:val="Quote"/>
        <w:rPr>
          <w:b/>
          <w:bCs/>
        </w:rPr>
      </w:pPr>
      <w:r w:rsidRPr="00507A59">
        <w:rPr>
          <w:b/>
          <w:bCs/>
        </w:rPr>
        <w:t>Over</w:t>
      </w:r>
      <w:r>
        <w:rPr>
          <w:b/>
          <w:bCs/>
        </w:rPr>
        <w:t>lap between network MCL, co-clusters, and ontologies.</w:t>
      </w:r>
    </w:p>
    <w:p w14:paraId="5842C28F" w14:textId="137BBDA1" w:rsidR="00507A59" w:rsidRDefault="00507A59" w:rsidP="00507A59">
      <w:pPr>
        <w:pStyle w:val="Quote"/>
      </w:pPr>
      <w:r>
        <w:t>Gene clusters defined by MCL in each network are aggregated by their overlap with co-clusters as well as ontologies (GO/KEGG). Values in the “No co-cluster” column represents MCL clusters that showed no significant overlap in the respective other network while the “Co-cluster” column shows MCL clusters with 1 or more co-clusters. Similarly, the “No Annot.” column indicates MCL terms with no significant overlap with either tested ontologies. The “GO/KEGG Annot.” reports the number of MCL clusters with 1 or more significant overlap with tested ontologies. All breakdowns are additionally totaled along margin rows/columns.</w:t>
      </w:r>
    </w:p>
    <w:p w14:paraId="0D2683B6" w14:textId="1E1C505B" w:rsidR="00BB082C" w:rsidRDefault="00BB082C" w:rsidP="00BB082C">
      <w:pPr>
        <w:pStyle w:val="Heading3"/>
      </w:pPr>
      <w:bookmarkStart w:id="8" w:name="_Ref35874177"/>
      <w:r>
        <w:t>Table 3</w:t>
      </w:r>
      <w:bookmarkEnd w:id="8"/>
    </w:p>
    <w:p w14:paraId="3F436483" w14:textId="46FA7836" w:rsidR="00BB082C" w:rsidRDefault="00BB082C" w:rsidP="00BB082C">
      <w:pPr>
        <w:pStyle w:val="Quote"/>
        <w:rPr>
          <w:b/>
          <w:bCs/>
        </w:rPr>
      </w:pPr>
      <w:r w:rsidRPr="00BB082C">
        <w:rPr>
          <w:b/>
          <w:bCs/>
        </w:rPr>
        <w:t>Comp</w:t>
      </w:r>
      <w:r>
        <w:rPr>
          <w:b/>
          <w:bCs/>
        </w:rPr>
        <w:t>arative GO and KEGG enrichment in network MCL clusters</w:t>
      </w:r>
    </w:p>
    <w:p w14:paraId="11E2978C" w14:textId="408D6684" w:rsidR="00BB082C" w:rsidRPr="00BB082C" w:rsidRDefault="00BB082C" w:rsidP="00BB082C">
      <w:pPr>
        <w:pStyle w:val="Quote"/>
      </w:pPr>
      <w:r>
        <w:t xml:space="preserve">GO and KEGG terms are broken down and compared in each network based on significant gene set overlap with MCL clusters (Bonferroni p ≤ 0.05; hypergeometric test). Columns show values for the number and percentage of overlap in each ontology within each network, the minimum and maximum number of significant ontology enrichments observed per </w:t>
      </w:r>
      <w:r w:rsidR="00F96129">
        <w:t>MCL c</w:t>
      </w:r>
      <w:r>
        <w:t>luster, and the total number of ontology terms which showed overlap with MCL clusters.</w:t>
      </w:r>
    </w:p>
    <w:p w14:paraId="510D82F5" w14:textId="19AFC3E0" w:rsidR="00CD0604" w:rsidRDefault="00CD0604" w:rsidP="00BA6848">
      <w:pPr>
        <w:pStyle w:val="Heading3"/>
      </w:pPr>
      <w:bookmarkStart w:id="9" w:name="_Ref32828136"/>
      <w:r>
        <w:t>Figure 1</w:t>
      </w:r>
      <w:bookmarkEnd w:id="9"/>
    </w:p>
    <w:p w14:paraId="06FA1676" w14:textId="317A92B4" w:rsidR="00CD0604" w:rsidRDefault="00CD0604" w:rsidP="00BA6848">
      <w:pPr>
        <w:pStyle w:val="Quote"/>
        <w:rPr>
          <w:b/>
          <w:bCs/>
        </w:rPr>
      </w:pPr>
      <w:r w:rsidRPr="008E31CE">
        <w:rPr>
          <w:b/>
          <w:bCs/>
        </w:rPr>
        <w:t xml:space="preserve">Network </w:t>
      </w:r>
      <w:r w:rsidR="00C7630B">
        <w:rPr>
          <w:b/>
          <w:bCs/>
        </w:rPr>
        <w:t>Overview</w:t>
      </w:r>
    </w:p>
    <w:p w14:paraId="465ACC85" w14:textId="30964692" w:rsidR="00C7630B" w:rsidRPr="00C7630B" w:rsidRDefault="00C7630B" w:rsidP="00C7630B">
      <w:pPr>
        <w:pStyle w:val="Quote"/>
      </w:pPr>
      <w:r>
        <w:t xml:space="preserve">Genes in each network are visualized in 2-dimensional space based on a spring-embedded algorithm that arranges sets of genes with strong co-expression near each other (note that individual network edges are not visualized). The approximate </w:t>
      </w:r>
      <w:r w:rsidR="00D90865">
        <w:t>location</w:t>
      </w:r>
      <w:r>
        <w:t xml:space="preserve"> of the top 10 largest MCL clusters (MCL0-MCL9) are</w:t>
      </w:r>
      <w:r w:rsidR="00D90865">
        <w:t xml:space="preserve"> denoted by dotted ellipses. The degree distribution of the network edges (Empirical Data) are shown in the inset plot and compared to the Power Law and Truncated Power Law theoretical distributions. </w:t>
      </w:r>
    </w:p>
    <w:p w14:paraId="27EC1AC9" w14:textId="28727FC1" w:rsidR="00CD0604" w:rsidRDefault="00CD0604" w:rsidP="00BA6848">
      <w:pPr>
        <w:pStyle w:val="Heading3"/>
      </w:pPr>
      <w:bookmarkStart w:id="10" w:name="_Ref33020938"/>
      <w:r>
        <w:t>Figure 2</w:t>
      </w:r>
      <w:bookmarkEnd w:id="10"/>
    </w:p>
    <w:p w14:paraId="4B9BCCDB" w14:textId="265506A1" w:rsidR="00CD0604" w:rsidRPr="008E31CE" w:rsidRDefault="00306FF2" w:rsidP="00BA6848">
      <w:pPr>
        <w:pStyle w:val="Quote"/>
        <w:rPr>
          <w:b/>
          <w:bCs/>
        </w:rPr>
      </w:pPr>
      <w:r w:rsidRPr="008E31CE">
        <w:rPr>
          <w:b/>
          <w:bCs/>
        </w:rPr>
        <w:t>F</w:t>
      </w:r>
      <w:r w:rsidR="00CD0604" w:rsidRPr="008E31CE">
        <w:rPr>
          <w:b/>
          <w:bCs/>
        </w:rPr>
        <w:t>unctional context using</w:t>
      </w:r>
      <w:r w:rsidRPr="008E31CE">
        <w:rPr>
          <w:b/>
          <w:bCs/>
        </w:rPr>
        <w:t xml:space="preserve"> network density of</w:t>
      </w:r>
      <w:r w:rsidR="00CD0604" w:rsidRPr="008E31CE">
        <w:rPr>
          <w:b/>
          <w:bCs/>
        </w:rPr>
        <w:t xml:space="preserve"> Gene Ontology</w:t>
      </w:r>
      <w:r w:rsidRPr="008E31CE">
        <w:rPr>
          <w:b/>
          <w:bCs/>
        </w:rPr>
        <w:t xml:space="preserve"> terms</w:t>
      </w:r>
    </w:p>
    <w:p w14:paraId="44743169" w14:textId="535F0393" w:rsidR="00CD0604" w:rsidRDefault="00CD0604" w:rsidP="00BA6848">
      <w:pPr>
        <w:pStyle w:val="Heading3"/>
      </w:pPr>
      <w:bookmarkStart w:id="11" w:name="_Ref34923037"/>
      <w:r>
        <w:t>Figure 3</w:t>
      </w:r>
      <w:bookmarkEnd w:id="11"/>
    </w:p>
    <w:p w14:paraId="7F18EF2C" w14:textId="16E87A56" w:rsidR="00CD0604" w:rsidRPr="008E31CE" w:rsidRDefault="00E63174" w:rsidP="00BA6848">
      <w:pPr>
        <w:pStyle w:val="Quote"/>
        <w:rPr>
          <w:b/>
          <w:bCs/>
        </w:rPr>
      </w:pPr>
      <w:r>
        <w:rPr>
          <w:b/>
          <w:bCs/>
        </w:rPr>
        <w:t>Tissue cross-network MCL cluster enrichment</w:t>
      </w:r>
    </w:p>
    <w:p w14:paraId="55BE453D" w14:textId="268384A6" w:rsidR="0031755E" w:rsidRDefault="0031755E" w:rsidP="00BA6848">
      <w:pPr>
        <w:pStyle w:val="Heading3"/>
      </w:pPr>
      <w:bookmarkStart w:id="12" w:name="_Ref33021349"/>
      <w:r>
        <w:lastRenderedPageBreak/>
        <w:t xml:space="preserve">Supp. </w:t>
      </w:r>
      <w:r w:rsidR="001C7685">
        <w:t>Dataset</w:t>
      </w:r>
      <w:r>
        <w:t xml:space="preserve"> 1</w:t>
      </w:r>
      <w:bookmarkEnd w:id="12"/>
    </w:p>
    <w:p w14:paraId="08B2E180" w14:textId="14A48069" w:rsidR="0031755E" w:rsidRPr="008E31CE" w:rsidRDefault="0031755E" w:rsidP="00BA6848">
      <w:pPr>
        <w:pStyle w:val="Quote"/>
        <w:rPr>
          <w:b/>
          <w:bCs/>
        </w:rPr>
      </w:pPr>
      <w:r w:rsidRPr="008E31CE">
        <w:rPr>
          <w:b/>
          <w:bCs/>
        </w:rPr>
        <w:t>Study sample information</w:t>
      </w:r>
    </w:p>
    <w:p w14:paraId="05DEF684" w14:textId="6AD44167" w:rsidR="0031755E" w:rsidRDefault="0031755E" w:rsidP="00BA6848">
      <w:pPr>
        <w:pStyle w:val="Quote"/>
      </w:pPr>
      <w:r>
        <w:t>Sample identifier, breed, and data</w:t>
      </w:r>
      <w:r w:rsidR="005B18F0">
        <w:t>set</w:t>
      </w:r>
      <w:r>
        <w:t xml:space="preserve"> membership information.</w:t>
      </w:r>
    </w:p>
    <w:p w14:paraId="09FA2582" w14:textId="16CC8D5D" w:rsidR="005E6841" w:rsidRDefault="005E6841" w:rsidP="00BA6848">
      <w:pPr>
        <w:pStyle w:val="Heading3"/>
      </w:pPr>
      <w:bookmarkStart w:id="13" w:name="_Ref33021274"/>
      <w:r>
        <w:t xml:space="preserve">Supp. </w:t>
      </w:r>
      <w:r w:rsidR="001C7685">
        <w:t>Dataset</w:t>
      </w:r>
      <w:r>
        <w:t xml:space="preserve"> 2</w:t>
      </w:r>
      <w:bookmarkEnd w:id="13"/>
    </w:p>
    <w:p w14:paraId="1050CDAD" w14:textId="0DAAE071" w:rsidR="005E6841" w:rsidRPr="008E31CE" w:rsidRDefault="005E6841" w:rsidP="00BA6848">
      <w:pPr>
        <w:pStyle w:val="Quote"/>
        <w:rPr>
          <w:b/>
          <w:bCs/>
        </w:rPr>
      </w:pPr>
      <w:r w:rsidRPr="008E31CE">
        <w:rPr>
          <w:b/>
          <w:bCs/>
        </w:rPr>
        <w:t>EcMuscle sample gene expression matrix</w:t>
      </w:r>
    </w:p>
    <w:p w14:paraId="7694C3E4" w14:textId="1D9362CE" w:rsidR="005E6841" w:rsidRPr="005E6841" w:rsidRDefault="005E6841" w:rsidP="00BA6848">
      <w:pPr>
        <w:pStyle w:val="Quote"/>
        <w:rPr>
          <w:b/>
          <w:bCs/>
        </w:rPr>
      </w:pPr>
      <w:r>
        <w:t>Input gene expression values (TPM) for the EcMuscle co-expression network.</w:t>
      </w:r>
    </w:p>
    <w:p w14:paraId="547B5CB1" w14:textId="471C9309" w:rsidR="005E6841" w:rsidRDefault="005E6841" w:rsidP="00BA6848">
      <w:pPr>
        <w:pStyle w:val="Heading3"/>
      </w:pPr>
      <w:bookmarkStart w:id="14" w:name="_Ref33021328"/>
      <w:r>
        <w:t xml:space="preserve">Supp. </w:t>
      </w:r>
      <w:r w:rsidR="001C7685">
        <w:t>Dataset</w:t>
      </w:r>
      <w:r>
        <w:t xml:space="preserve"> 3</w:t>
      </w:r>
      <w:bookmarkEnd w:id="14"/>
    </w:p>
    <w:p w14:paraId="4B1CE88A" w14:textId="7869B03A" w:rsidR="005E6841" w:rsidRPr="008E31CE" w:rsidRDefault="005E6841" w:rsidP="00BA6848">
      <w:pPr>
        <w:pStyle w:val="Quote"/>
        <w:rPr>
          <w:b/>
          <w:bCs/>
        </w:rPr>
      </w:pPr>
      <w:r w:rsidRPr="008E31CE">
        <w:rPr>
          <w:b/>
          <w:bCs/>
        </w:rPr>
        <w:t>EcAdipose sample gene expression matrix</w:t>
      </w:r>
    </w:p>
    <w:p w14:paraId="099A9CC8" w14:textId="283F4052" w:rsidR="005E6841" w:rsidRPr="005E6841" w:rsidRDefault="005E6841" w:rsidP="00BA6848">
      <w:pPr>
        <w:pStyle w:val="Quote"/>
      </w:pPr>
      <w:r>
        <w:t>Input gene expression values (TPM) for the EcAdipose co-expression network.</w:t>
      </w:r>
    </w:p>
    <w:p w14:paraId="74D976B7" w14:textId="67DEFF4A" w:rsidR="005E6841" w:rsidRDefault="005E6841" w:rsidP="00BA6848">
      <w:pPr>
        <w:pStyle w:val="Heading3"/>
      </w:pPr>
      <w:bookmarkStart w:id="15" w:name="_Ref34037231"/>
      <w:r>
        <w:t xml:space="preserve">Supp. </w:t>
      </w:r>
      <w:r w:rsidR="001C7685">
        <w:t>Dataset</w:t>
      </w:r>
      <w:r>
        <w:t xml:space="preserve"> 4</w:t>
      </w:r>
      <w:bookmarkEnd w:id="15"/>
    </w:p>
    <w:p w14:paraId="1975F4C0" w14:textId="7050DE50" w:rsidR="008B0DE9" w:rsidRPr="008E31CE" w:rsidRDefault="008B0DE9" w:rsidP="00BA6848">
      <w:pPr>
        <w:pStyle w:val="Quote"/>
        <w:rPr>
          <w:b/>
          <w:bCs/>
        </w:rPr>
      </w:pPr>
      <w:r w:rsidRPr="008E31CE">
        <w:rPr>
          <w:b/>
          <w:bCs/>
        </w:rPr>
        <w:t xml:space="preserve">Network density of Gene Ontology terms </w:t>
      </w:r>
    </w:p>
    <w:p w14:paraId="696D9926" w14:textId="3F752088" w:rsidR="00696642" w:rsidRPr="00696642" w:rsidRDefault="00696642" w:rsidP="00BA6848">
      <w:pPr>
        <w:pStyle w:val="Quote"/>
      </w:pPr>
      <w:r>
        <w:t xml:space="preserve">Summary of GO terms and their co-expression density scores in each network. </w:t>
      </w:r>
    </w:p>
    <w:p w14:paraId="3CED227D" w14:textId="115DDF3C" w:rsidR="00696642" w:rsidRDefault="001C7685" w:rsidP="00BA6848">
      <w:pPr>
        <w:pStyle w:val="Heading3"/>
      </w:pPr>
      <w:r>
        <w:t>Supp. Dataset 5</w:t>
      </w:r>
    </w:p>
    <w:p w14:paraId="7AEDA20F" w14:textId="43C9ECCD" w:rsidR="001C7685" w:rsidRPr="008E31CE" w:rsidRDefault="001C7685" w:rsidP="00BA6848">
      <w:pPr>
        <w:pStyle w:val="Quote"/>
        <w:rPr>
          <w:b/>
          <w:bCs/>
        </w:rPr>
      </w:pPr>
      <w:r w:rsidRPr="008E31CE">
        <w:rPr>
          <w:b/>
          <w:bCs/>
        </w:rPr>
        <w:t>Network density of KEGG terms</w:t>
      </w:r>
    </w:p>
    <w:p w14:paraId="348E44DF" w14:textId="7F88E94E" w:rsidR="001C7685" w:rsidRDefault="001C7685" w:rsidP="00BA6848">
      <w:pPr>
        <w:pStyle w:val="Quote"/>
      </w:pPr>
      <w:r>
        <w:t>Summary of KEGG terms and their co-expression density scores in each network.</w:t>
      </w:r>
    </w:p>
    <w:p w14:paraId="426B4009" w14:textId="0DABB75E" w:rsidR="001C7685" w:rsidRDefault="001C7685" w:rsidP="00BA6848">
      <w:pPr>
        <w:pStyle w:val="Heading3"/>
      </w:pPr>
      <w:bookmarkStart w:id="16" w:name="_Ref34398225"/>
      <w:r>
        <w:t>Supp</w:t>
      </w:r>
      <w:r w:rsidR="008E31CE">
        <w:t>.</w:t>
      </w:r>
      <w:r>
        <w:t xml:space="preserve"> Dataset 6</w:t>
      </w:r>
      <w:bookmarkEnd w:id="16"/>
    </w:p>
    <w:p w14:paraId="560873B8" w14:textId="10BDA2DC" w:rsidR="008E31CE" w:rsidRPr="008E31CE" w:rsidRDefault="001C7685" w:rsidP="008E31CE">
      <w:pPr>
        <w:pStyle w:val="Quote"/>
        <w:rPr>
          <w:b/>
          <w:bCs/>
        </w:rPr>
      </w:pPr>
      <w:r w:rsidRPr="008E31CE">
        <w:rPr>
          <w:b/>
          <w:bCs/>
        </w:rPr>
        <w:t>Cross network MCL cluster gene set enrichment</w:t>
      </w:r>
    </w:p>
    <w:p w14:paraId="561D8D44" w14:textId="7C4EB047" w:rsidR="008E31CE" w:rsidRDefault="008E31CE" w:rsidP="008E31CE">
      <w:pPr>
        <w:pStyle w:val="Quote"/>
      </w:pPr>
      <w:r>
        <w:t>Summary of the gene set enrichment between MCL clusters between the EcMuscle and EcAdipose networks.</w:t>
      </w:r>
    </w:p>
    <w:p w14:paraId="3A624B5D" w14:textId="77777777" w:rsidR="008E31CE" w:rsidRDefault="008E31CE" w:rsidP="008E31CE">
      <w:pPr>
        <w:pStyle w:val="Heading3"/>
      </w:pPr>
      <w:bookmarkStart w:id="17" w:name="_Ref34749007"/>
      <w:r>
        <w:t>Supp. Dataset 7</w:t>
      </w:r>
      <w:bookmarkEnd w:id="17"/>
    </w:p>
    <w:p w14:paraId="71CD8109" w14:textId="2596A13C" w:rsidR="008E31CE" w:rsidRDefault="008E31CE" w:rsidP="008E31CE">
      <w:pPr>
        <w:pStyle w:val="Quote"/>
      </w:pPr>
      <w:r w:rsidRPr="008E31CE">
        <w:rPr>
          <w:b/>
          <w:bCs/>
        </w:rPr>
        <w:t>Ontology enrichment of MCL clusters in EcMuscle and EcAdipose networks.</w:t>
      </w:r>
      <w:r w:rsidRPr="008E31CE">
        <w:t xml:space="preserve"> </w:t>
      </w:r>
    </w:p>
    <w:p w14:paraId="1EB440C8" w14:textId="763205CC" w:rsidR="008E31CE" w:rsidRPr="008E31CE" w:rsidRDefault="008E31CE" w:rsidP="008E31CE">
      <w:pPr>
        <w:pStyle w:val="Quote"/>
      </w:pPr>
      <w:r>
        <w:t xml:space="preserve">Gene set enrichment showing the probability of overlap between MCL cluster gene sets defined in either tissue network and ontological terms defined by either GO or KEGG. </w:t>
      </w:r>
    </w:p>
    <w:p w14:paraId="18343309" w14:textId="77777777" w:rsidR="008E31CE" w:rsidRPr="008E31CE" w:rsidRDefault="008E31CE" w:rsidP="008E31CE">
      <w:pPr>
        <w:pStyle w:val="Quote"/>
      </w:pPr>
    </w:p>
    <w:p w14:paraId="05DAEC1F" w14:textId="4E8620C6" w:rsidR="001C7685" w:rsidRPr="001C7685" w:rsidRDefault="001C7685" w:rsidP="00BA6848">
      <w:pPr>
        <w:pStyle w:val="Quote"/>
      </w:pPr>
    </w:p>
    <w:p w14:paraId="22932F9E" w14:textId="5C966FF5" w:rsidR="00B55650" w:rsidRDefault="00B55650" w:rsidP="00BA6848">
      <w:pPr>
        <w:pStyle w:val="Heading1"/>
      </w:pPr>
      <w:r>
        <w:t>References</w:t>
      </w:r>
    </w:p>
    <w:p w14:paraId="4C0E05F4" w14:textId="10EB1B07" w:rsidR="00D810CB" w:rsidRPr="00D810CB" w:rsidRDefault="00B55650" w:rsidP="00D810CB">
      <w:pPr>
        <w:widowControl w:val="0"/>
        <w:autoSpaceDE w:val="0"/>
        <w:autoSpaceDN w:val="0"/>
        <w:adjustRightInd w:val="0"/>
        <w:rPr>
          <w:noProof/>
          <w:szCs w:val="24"/>
        </w:rPr>
      </w:pPr>
      <w:r>
        <w:fldChar w:fldCharType="begin" w:fldLock="1"/>
      </w:r>
      <w:r>
        <w:instrText xml:space="preserve">ADDIN Mendeley Bibliography CSL_BIBLIOGRAPHY </w:instrText>
      </w:r>
      <w:r>
        <w:fldChar w:fldCharType="separate"/>
      </w:r>
      <w:r w:rsidR="00D810CB" w:rsidRPr="00D810CB">
        <w:rPr>
          <w:noProof/>
          <w:szCs w:val="24"/>
        </w:rPr>
        <w:t xml:space="preserve">Alstott J, Bullmore E, Plenz D. 2014. powerlaw: a Python package for analysis of heavy-tailed distributions. Rapallo F, editor. PLoS One. 9(1):e85777. doi:10.1371/journal.pone.0085777. [accessed 2014 Mar 23]. </w:t>
      </w:r>
      <w:r w:rsidR="00D810CB" w:rsidRPr="00D810CB">
        <w:rPr>
          <w:noProof/>
          <w:szCs w:val="24"/>
        </w:rPr>
        <w:lastRenderedPageBreak/>
        <w:t>http://dx.plos.org/10.1371/journal.pone.0085777.</w:t>
      </w:r>
    </w:p>
    <w:p w14:paraId="510739E8" w14:textId="77777777" w:rsidR="00D810CB" w:rsidRPr="00D810CB" w:rsidRDefault="00D810CB" w:rsidP="00D810CB">
      <w:pPr>
        <w:widowControl w:val="0"/>
        <w:autoSpaceDE w:val="0"/>
        <w:autoSpaceDN w:val="0"/>
        <w:adjustRightInd w:val="0"/>
        <w:rPr>
          <w:noProof/>
          <w:szCs w:val="24"/>
        </w:rPr>
      </w:pPr>
      <w:r w:rsidRPr="00D810CB">
        <w:rPr>
          <w:noProof/>
          <w:szCs w:val="24"/>
        </w:rPr>
        <w:t>Dongen S van. 2000. MCL—a cluster algorithm for graphs. http://micans.org/mcl.</w:t>
      </w:r>
    </w:p>
    <w:p w14:paraId="1D455213" w14:textId="77777777" w:rsidR="00D810CB" w:rsidRPr="00D810CB" w:rsidRDefault="00D810CB" w:rsidP="00D810CB">
      <w:pPr>
        <w:widowControl w:val="0"/>
        <w:autoSpaceDE w:val="0"/>
        <w:autoSpaceDN w:val="0"/>
        <w:adjustRightInd w:val="0"/>
        <w:rPr>
          <w:noProof/>
          <w:szCs w:val="24"/>
        </w:rPr>
      </w:pPr>
      <w:r w:rsidRPr="00D810CB">
        <w:rPr>
          <w:noProof/>
          <w:szCs w:val="24"/>
        </w:rPr>
        <w:t>Eisen MB, Spellman PT, Brown PO, Botstein D. 1998. Cluster analysis and display of genome-wide expression patterns. Proc Natl Acad Sci. 95(25):14863–14868. doi:10.1073/pnas.95.25.14863. http://www.pubmedcentral.nih.gov/articlerender.fcgi?artid=24541&amp;tool=pmcentrez&amp;rendertype=abstract%5Cnhttp://www.pnas.org/cgi/doi/10.1073/pnas.95.25.14863.</w:t>
      </w:r>
    </w:p>
    <w:p w14:paraId="076A5FBF" w14:textId="77777777" w:rsidR="00D810CB" w:rsidRPr="00D810CB" w:rsidRDefault="00D810CB" w:rsidP="00D810CB">
      <w:pPr>
        <w:widowControl w:val="0"/>
        <w:autoSpaceDE w:val="0"/>
        <w:autoSpaceDN w:val="0"/>
        <w:adjustRightInd w:val="0"/>
        <w:rPr>
          <w:noProof/>
          <w:szCs w:val="24"/>
        </w:rPr>
      </w:pPr>
      <w:r w:rsidRPr="00D810CB">
        <w:rPr>
          <w:noProof/>
          <w:szCs w:val="24"/>
        </w:rPr>
        <w:t>Köster J, Rahmann S. 2012. Snakemake-a scalable bioinformatics workflow engine. Bioinformatics. 28(19):2520–2522. doi:10.1093/bioinformatics/bts480.</w:t>
      </w:r>
    </w:p>
    <w:p w14:paraId="16E7E8BF" w14:textId="77777777" w:rsidR="00D810CB" w:rsidRPr="00D810CB" w:rsidRDefault="00D810CB" w:rsidP="00D810CB">
      <w:pPr>
        <w:widowControl w:val="0"/>
        <w:autoSpaceDE w:val="0"/>
        <w:autoSpaceDN w:val="0"/>
        <w:adjustRightInd w:val="0"/>
        <w:rPr>
          <w:noProof/>
          <w:szCs w:val="24"/>
        </w:rPr>
      </w:pPr>
      <w:r w:rsidRPr="00D810CB">
        <w:rPr>
          <w:noProof/>
          <w:szCs w:val="24"/>
        </w:rPr>
        <w:t>Lindgreen S. 2012. AdapterRemoval: easy cleaning of next-generation sequencing reads. BMC Res Notes. 5(1):337. doi:10.1186/1756-0500-5-337. [accessed 2015 Sep 4]. http://www.biomedcentral.com/1756-0500/5/337.</w:t>
      </w:r>
    </w:p>
    <w:p w14:paraId="59D8B05E" w14:textId="77777777" w:rsidR="00D810CB" w:rsidRPr="00D810CB" w:rsidRDefault="00D810CB" w:rsidP="00D810CB">
      <w:pPr>
        <w:widowControl w:val="0"/>
        <w:autoSpaceDE w:val="0"/>
        <w:autoSpaceDN w:val="0"/>
        <w:adjustRightInd w:val="0"/>
        <w:rPr>
          <w:noProof/>
          <w:szCs w:val="24"/>
        </w:rPr>
      </w:pPr>
      <w:r w:rsidRPr="00D810CB">
        <w:rPr>
          <w:noProof/>
          <w:szCs w:val="24"/>
        </w:rPr>
        <w:t>Schaefer RJ, Michno JM, Jeffers J, Hoekenga O, Dilkes B, Baxter I, Myersc CL. 2018. Integrating coexpression networks with GWAS to prioritize causal genes in maize. Plant Cell. 30(12):2922–2942. doi:10.1105/tpc.18.00299.</w:t>
      </w:r>
    </w:p>
    <w:p w14:paraId="68F2DCD7" w14:textId="77777777" w:rsidR="00D810CB" w:rsidRPr="00D810CB" w:rsidRDefault="00D810CB" w:rsidP="00D810CB">
      <w:pPr>
        <w:widowControl w:val="0"/>
        <w:autoSpaceDE w:val="0"/>
        <w:autoSpaceDN w:val="0"/>
        <w:adjustRightInd w:val="0"/>
        <w:rPr>
          <w:noProof/>
          <w:szCs w:val="24"/>
        </w:rPr>
      </w:pPr>
      <w:r w:rsidRPr="00D810CB">
        <w:rPr>
          <w:noProof/>
          <w:szCs w:val="24"/>
        </w:rPr>
        <w:t>Spellman PT, Sherlock G, Zhang MQ, Iyer VR, Anders K, Eisen MB, Brown PO, Botstein D, Futcher B. 1998. Comprehensive identification of cell cycle-regulated genes of the yeast Saccharomyces cerevisiae by microarray hybridization. Mol Biol Cell. 9(12):3273–97. [accessed 2015 Sep 17]. http://www.pubmedcentral.nih.gov/articlerender.fcgi?artid=25624&amp;tool=pmcentrez&amp;rendertype=abstract.</w:t>
      </w:r>
    </w:p>
    <w:p w14:paraId="480F0403" w14:textId="77777777" w:rsidR="00D810CB" w:rsidRPr="00D810CB" w:rsidRDefault="00D810CB" w:rsidP="00D810CB">
      <w:pPr>
        <w:widowControl w:val="0"/>
        <w:autoSpaceDE w:val="0"/>
        <w:autoSpaceDN w:val="0"/>
        <w:adjustRightInd w:val="0"/>
        <w:rPr>
          <w:noProof/>
        </w:rPr>
      </w:pPr>
      <w:r w:rsidRPr="00D810CB">
        <w:rPr>
          <w:noProof/>
          <w:szCs w:val="24"/>
        </w:rPr>
        <w:t>Strogatz SH. 2001. Exploring complex networks. Nature. 410(6825):268–276. doi:10.1038/35065725. http://www.nature.com/doifinder/10.1038/35065725.</w:t>
      </w:r>
    </w:p>
    <w:p w14:paraId="1251E259" w14:textId="779D81DE" w:rsidR="00B55650" w:rsidRPr="00B55650" w:rsidRDefault="00B55650" w:rsidP="00BA6848">
      <w:r>
        <w:fldChar w:fldCharType="end"/>
      </w:r>
    </w:p>
    <w:sectPr w:rsidR="00B55650" w:rsidRPr="00B55650">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Rob Schaefer" w:date="2020-03-19T12:43:00Z" w:initials="RS">
    <w:p w14:paraId="19A2D89E" w14:textId="37F3FA9F" w:rsidR="004960C0" w:rsidRDefault="004960C0">
      <w:pPr>
        <w:pStyle w:val="CommentText"/>
      </w:pPr>
      <w:r>
        <w:rPr>
          <w:rStyle w:val="CommentReference"/>
        </w:rPr>
        <w:annotationRef/>
      </w:r>
      <w:r>
        <w:t>UNDER CONSTRUCTION, please start at Results for now and I will work on this while you review that.</w:t>
      </w:r>
    </w:p>
  </w:comment>
  <w:comment w:id="3" w:author="Rob Schaefer" w:date="2020-03-23T17:33:00Z" w:initials="RS">
    <w:p w14:paraId="1B962314" w14:textId="0E32E460" w:rsidR="0006301E" w:rsidRDefault="0006301E">
      <w:pPr>
        <w:pStyle w:val="CommentText"/>
      </w:pPr>
      <w:r>
        <w:rPr>
          <w:rStyle w:val="CommentReference"/>
        </w:rPr>
        <w:annotationRef/>
      </w:r>
      <w:r>
        <w:t>Please wait to provide feedback on Discussion.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19A2D89E" w15:done="0"/>
  <w15:commentEx w15:paraId="1B962314"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9A2D89E" w16cid:durableId="221DE75D"/>
  <w16cid:commentId w16cid:paraId="1B962314" w16cid:durableId="222371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184660"/>
    <w:multiLevelType w:val="hybridMultilevel"/>
    <w:tmpl w:val="3228B1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D4D6351"/>
    <w:multiLevelType w:val="hybridMultilevel"/>
    <w:tmpl w:val="D0AE1C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Rob Schaefer">
    <w15:presenceInfo w15:providerId="Windows Live" w15:userId="9e3eb8bbd4663f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1CF4"/>
    <w:rsid w:val="00005543"/>
    <w:rsid w:val="000203DD"/>
    <w:rsid w:val="00022CCA"/>
    <w:rsid w:val="00034BB5"/>
    <w:rsid w:val="00034E44"/>
    <w:rsid w:val="00051D9D"/>
    <w:rsid w:val="00051DFC"/>
    <w:rsid w:val="0006301E"/>
    <w:rsid w:val="00072337"/>
    <w:rsid w:val="00076384"/>
    <w:rsid w:val="00083F0E"/>
    <w:rsid w:val="00095A6F"/>
    <w:rsid w:val="000A3022"/>
    <w:rsid w:val="000B18E7"/>
    <w:rsid w:val="000B7880"/>
    <w:rsid w:val="000C6EBE"/>
    <w:rsid w:val="000D21D0"/>
    <w:rsid w:val="000F490D"/>
    <w:rsid w:val="001056C7"/>
    <w:rsid w:val="001133D9"/>
    <w:rsid w:val="00115025"/>
    <w:rsid w:val="00117319"/>
    <w:rsid w:val="00117E24"/>
    <w:rsid w:val="001220FA"/>
    <w:rsid w:val="0013732D"/>
    <w:rsid w:val="00152276"/>
    <w:rsid w:val="00165E66"/>
    <w:rsid w:val="00185288"/>
    <w:rsid w:val="00195572"/>
    <w:rsid w:val="001A65B3"/>
    <w:rsid w:val="001B05E5"/>
    <w:rsid w:val="001B391C"/>
    <w:rsid w:val="001B4FBD"/>
    <w:rsid w:val="001C7685"/>
    <w:rsid w:val="001D42B7"/>
    <w:rsid w:val="001D7FF0"/>
    <w:rsid w:val="001F5218"/>
    <w:rsid w:val="00214CCD"/>
    <w:rsid w:val="00217752"/>
    <w:rsid w:val="002258EA"/>
    <w:rsid w:val="00226E1D"/>
    <w:rsid w:val="00231902"/>
    <w:rsid w:val="00240DBB"/>
    <w:rsid w:val="00252AC0"/>
    <w:rsid w:val="002531E9"/>
    <w:rsid w:val="002548BF"/>
    <w:rsid w:val="0026031D"/>
    <w:rsid w:val="00262CB8"/>
    <w:rsid w:val="002857D4"/>
    <w:rsid w:val="00285B96"/>
    <w:rsid w:val="002A1238"/>
    <w:rsid w:val="002A3CE7"/>
    <w:rsid w:val="002B3482"/>
    <w:rsid w:val="002B775A"/>
    <w:rsid w:val="002B77B7"/>
    <w:rsid w:val="002D604D"/>
    <w:rsid w:val="002D632F"/>
    <w:rsid w:val="002F2364"/>
    <w:rsid w:val="002F5016"/>
    <w:rsid w:val="002F53F5"/>
    <w:rsid w:val="002F6E5B"/>
    <w:rsid w:val="002F7717"/>
    <w:rsid w:val="00306FF2"/>
    <w:rsid w:val="003164FB"/>
    <w:rsid w:val="0031755E"/>
    <w:rsid w:val="003548B3"/>
    <w:rsid w:val="003725FA"/>
    <w:rsid w:val="00377BD1"/>
    <w:rsid w:val="00384EAF"/>
    <w:rsid w:val="003958C2"/>
    <w:rsid w:val="003B3FA4"/>
    <w:rsid w:val="003B7497"/>
    <w:rsid w:val="003C081F"/>
    <w:rsid w:val="003E4AB5"/>
    <w:rsid w:val="003E7135"/>
    <w:rsid w:val="003E7F00"/>
    <w:rsid w:val="00400679"/>
    <w:rsid w:val="00404F3F"/>
    <w:rsid w:val="004208FC"/>
    <w:rsid w:val="004413F2"/>
    <w:rsid w:val="00454E9F"/>
    <w:rsid w:val="00462691"/>
    <w:rsid w:val="00470E11"/>
    <w:rsid w:val="004960C0"/>
    <w:rsid w:val="004B7231"/>
    <w:rsid w:val="004B7F32"/>
    <w:rsid w:val="004E7A72"/>
    <w:rsid w:val="004F4EB8"/>
    <w:rsid w:val="004F7CE2"/>
    <w:rsid w:val="00507A59"/>
    <w:rsid w:val="005105FE"/>
    <w:rsid w:val="00525578"/>
    <w:rsid w:val="00533B27"/>
    <w:rsid w:val="00543F2B"/>
    <w:rsid w:val="0056317E"/>
    <w:rsid w:val="005633AA"/>
    <w:rsid w:val="0056398D"/>
    <w:rsid w:val="005865A4"/>
    <w:rsid w:val="00593783"/>
    <w:rsid w:val="00597918"/>
    <w:rsid w:val="005A0215"/>
    <w:rsid w:val="005A6369"/>
    <w:rsid w:val="005B18F0"/>
    <w:rsid w:val="005C2CD3"/>
    <w:rsid w:val="005D292D"/>
    <w:rsid w:val="005E3172"/>
    <w:rsid w:val="005E6841"/>
    <w:rsid w:val="005F56F7"/>
    <w:rsid w:val="006034CF"/>
    <w:rsid w:val="00606B77"/>
    <w:rsid w:val="006161F6"/>
    <w:rsid w:val="00640614"/>
    <w:rsid w:val="006511F1"/>
    <w:rsid w:val="00651EEA"/>
    <w:rsid w:val="00680525"/>
    <w:rsid w:val="00684C77"/>
    <w:rsid w:val="00695077"/>
    <w:rsid w:val="00696642"/>
    <w:rsid w:val="006A2216"/>
    <w:rsid w:val="006B1C33"/>
    <w:rsid w:val="006B2FA2"/>
    <w:rsid w:val="006B3DF8"/>
    <w:rsid w:val="006D2438"/>
    <w:rsid w:val="006E0922"/>
    <w:rsid w:val="006E0A0C"/>
    <w:rsid w:val="006F22DD"/>
    <w:rsid w:val="00704712"/>
    <w:rsid w:val="0070703B"/>
    <w:rsid w:val="007379D6"/>
    <w:rsid w:val="00747215"/>
    <w:rsid w:val="00750C19"/>
    <w:rsid w:val="00754297"/>
    <w:rsid w:val="00761E81"/>
    <w:rsid w:val="00771A0E"/>
    <w:rsid w:val="00777353"/>
    <w:rsid w:val="00780874"/>
    <w:rsid w:val="007957C1"/>
    <w:rsid w:val="00797D3D"/>
    <w:rsid w:val="007A3A87"/>
    <w:rsid w:val="007A5B02"/>
    <w:rsid w:val="007B6A34"/>
    <w:rsid w:val="007B6EDF"/>
    <w:rsid w:val="007C2AB4"/>
    <w:rsid w:val="007C351C"/>
    <w:rsid w:val="007D1315"/>
    <w:rsid w:val="0081628D"/>
    <w:rsid w:val="008253C9"/>
    <w:rsid w:val="00850AD2"/>
    <w:rsid w:val="00851F88"/>
    <w:rsid w:val="0085318F"/>
    <w:rsid w:val="008602F3"/>
    <w:rsid w:val="00860C53"/>
    <w:rsid w:val="0088207C"/>
    <w:rsid w:val="008949B0"/>
    <w:rsid w:val="008A31A1"/>
    <w:rsid w:val="008A5B9E"/>
    <w:rsid w:val="008B0DE9"/>
    <w:rsid w:val="008B6F34"/>
    <w:rsid w:val="008D73B6"/>
    <w:rsid w:val="008E0E73"/>
    <w:rsid w:val="008E31CE"/>
    <w:rsid w:val="008F13EE"/>
    <w:rsid w:val="008F1906"/>
    <w:rsid w:val="00901962"/>
    <w:rsid w:val="00920814"/>
    <w:rsid w:val="00920854"/>
    <w:rsid w:val="009210CD"/>
    <w:rsid w:val="00924AD0"/>
    <w:rsid w:val="00925CD9"/>
    <w:rsid w:val="009319FF"/>
    <w:rsid w:val="009407CB"/>
    <w:rsid w:val="009614F5"/>
    <w:rsid w:val="00982EF4"/>
    <w:rsid w:val="0099584B"/>
    <w:rsid w:val="00996864"/>
    <w:rsid w:val="009974E4"/>
    <w:rsid w:val="009A4941"/>
    <w:rsid w:val="009A7291"/>
    <w:rsid w:val="009B744D"/>
    <w:rsid w:val="009C07BD"/>
    <w:rsid w:val="009E1164"/>
    <w:rsid w:val="009E7853"/>
    <w:rsid w:val="009E7CA5"/>
    <w:rsid w:val="009F041C"/>
    <w:rsid w:val="009F45A3"/>
    <w:rsid w:val="00A209B8"/>
    <w:rsid w:val="00A26800"/>
    <w:rsid w:val="00A26890"/>
    <w:rsid w:val="00A41FBB"/>
    <w:rsid w:val="00A464F1"/>
    <w:rsid w:val="00A47F09"/>
    <w:rsid w:val="00A57FE5"/>
    <w:rsid w:val="00A90893"/>
    <w:rsid w:val="00A93E72"/>
    <w:rsid w:val="00AB0913"/>
    <w:rsid w:val="00AC00C0"/>
    <w:rsid w:val="00AD6D10"/>
    <w:rsid w:val="00AF66D3"/>
    <w:rsid w:val="00B01FC5"/>
    <w:rsid w:val="00B43A24"/>
    <w:rsid w:val="00B44618"/>
    <w:rsid w:val="00B55650"/>
    <w:rsid w:val="00B85F41"/>
    <w:rsid w:val="00BA6848"/>
    <w:rsid w:val="00BB082C"/>
    <w:rsid w:val="00BB27D1"/>
    <w:rsid w:val="00BC68F7"/>
    <w:rsid w:val="00BE17B6"/>
    <w:rsid w:val="00BE5B17"/>
    <w:rsid w:val="00BF1CF4"/>
    <w:rsid w:val="00BF4877"/>
    <w:rsid w:val="00C068CC"/>
    <w:rsid w:val="00C1242F"/>
    <w:rsid w:val="00C2359B"/>
    <w:rsid w:val="00C30BBF"/>
    <w:rsid w:val="00C56456"/>
    <w:rsid w:val="00C7630B"/>
    <w:rsid w:val="00C8460F"/>
    <w:rsid w:val="00C900F5"/>
    <w:rsid w:val="00C94E57"/>
    <w:rsid w:val="00C96DCE"/>
    <w:rsid w:val="00CB59F4"/>
    <w:rsid w:val="00CC3FD4"/>
    <w:rsid w:val="00CD0604"/>
    <w:rsid w:val="00CD07CC"/>
    <w:rsid w:val="00CF3847"/>
    <w:rsid w:val="00CF6C1C"/>
    <w:rsid w:val="00D028DC"/>
    <w:rsid w:val="00D13B68"/>
    <w:rsid w:val="00D316DD"/>
    <w:rsid w:val="00D333EB"/>
    <w:rsid w:val="00D469CC"/>
    <w:rsid w:val="00D47723"/>
    <w:rsid w:val="00D515A9"/>
    <w:rsid w:val="00D611A4"/>
    <w:rsid w:val="00D650AA"/>
    <w:rsid w:val="00D6784F"/>
    <w:rsid w:val="00D805CA"/>
    <w:rsid w:val="00D810CB"/>
    <w:rsid w:val="00D90865"/>
    <w:rsid w:val="00D953FE"/>
    <w:rsid w:val="00D9563D"/>
    <w:rsid w:val="00DA0D45"/>
    <w:rsid w:val="00DC67CC"/>
    <w:rsid w:val="00DE138B"/>
    <w:rsid w:val="00DF4B0D"/>
    <w:rsid w:val="00DF5D7F"/>
    <w:rsid w:val="00E04138"/>
    <w:rsid w:val="00E132D5"/>
    <w:rsid w:val="00E36A81"/>
    <w:rsid w:val="00E40304"/>
    <w:rsid w:val="00E5297F"/>
    <w:rsid w:val="00E553A8"/>
    <w:rsid w:val="00E63174"/>
    <w:rsid w:val="00E67E80"/>
    <w:rsid w:val="00E86952"/>
    <w:rsid w:val="00E871CF"/>
    <w:rsid w:val="00EC31D9"/>
    <w:rsid w:val="00ED28F4"/>
    <w:rsid w:val="00EE2E66"/>
    <w:rsid w:val="00EF0568"/>
    <w:rsid w:val="00F0689E"/>
    <w:rsid w:val="00F15F9E"/>
    <w:rsid w:val="00F24593"/>
    <w:rsid w:val="00F3025F"/>
    <w:rsid w:val="00F37945"/>
    <w:rsid w:val="00F47FD7"/>
    <w:rsid w:val="00F565B5"/>
    <w:rsid w:val="00F620BC"/>
    <w:rsid w:val="00F62CFF"/>
    <w:rsid w:val="00F869CF"/>
    <w:rsid w:val="00F87744"/>
    <w:rsid w:val="00F90FFB"/>
    <w:rsid w:val="00F96129"/>
    <w:rsid w:val="00FA3A83"/>
    <w:rsid w:val="00FA596E"/>
    <w:rsid w:val="00FA60A9"/>
    <w:rsid w:val="00FB1889"/>
    <w:rsid w:val="00FC4D54"/>
    <w:rsid w:val="00FC7E82"/>
    <w:rsid w:val="00FE4374"/>
    <w:rsid w:val="00FE70BD"/>
    <w:rsid w:val="00FF5B26"/>
    <w:rsid w:val="00FF7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37D4"/>
  <w15:chartTrackingRefBased/>
  <w15:docId w15:val="{D0F13B93-E375-4837-9683-27E46CE3C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A6848"/>
    <w:pPr>
      <w:spacing w:line="480" w:lineRule="auto"/>
      <w:jc w:val="both"/>
    </w:pPr>
    <w:rPr>
      <w:rFonts w:ascii="Times New Roman" w:hAnsi="Times New Roman" w:cs="Times New Roman"/>
    </w:rPr>
  </w:style>
  <w:style w:type="paragraph" w:styleId="Heading1">
    <w:name w:val="heading 1"/>
    <w:basedOn w:val="Normal"/>
    <w:next w:val="Normal"/>
    <w:link w:val="Heading1Char"/>
    <w:uiPriority w:val="9"/>
    <w:qFormat/>
    <w:rsid w:val="0013732D"/>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Heading2">
    <w:name w:val="heading 2"/>
    <w:basedOn w:val="Normal"/>
    <w:next w:val="Normal"/>
    <w:link w:val="Heading2Char"/>
    <w:uiPriority w:val="9"/>
    <w:unhideWhenUsed/>
    <w:qFormat/>
    <w:rsid w:val="0013732D"/>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Heading3">
    <w:name w:val="heading 3"/>
    <w:basedOn w:val="Normal"/>
    <w:next w:val="Normal"/>
    <w:link w:val="Heading3Char"/>
    <w:uiPriority w:val="9"/>
    <w:unhideWhenUsed/>
    <w:qFormat/>
    <w:rsid w:val="001B05E5"/>
    <w:pPr>
      <w:keepNext/>
      <w:keepLines/>
      <w:spacing w:before="40" w:after="0" w:line="240" w:lineRule="auto"/>
      <w:outlineLvl w:val="2"/>
    </w:pPr>
    <w:rPr>
      <w:rFonts w:asciiTheme="majorHAnsi" w:eastAsiaTheme="majorEastAsia" w:hAnsiTheme="majorHAnsi" w:cstheme="majorBidi"/>
      <w:color w:val="0D0D0D" w:themeColor="text1" w:themeTint="F2"/>
      <w:sz w:val="24"/>
      <w:szCs w:val="24"/>
    </w:rPr>
  </w:style>
  <w:style w:type="paragraph" w:styleId="Heading4">
    <w:name w:val="heading 4"/>
    <w:basedOn w:val="Normal"/>
    <w:next w:val="Normal"/>
    <w:link w:val="Heading4Char"/>
    <w:uiPriority w:val="9"/>
    <w:unhideWhenUsed/>
    <w:qFormat/>
    <w:rsid w:val="0013732D"/>
    <w:pPr>
      <w:keepNext/>
      <w:keepLines/>
      <w:spacing w:before="40" w:after="0"/>
      <w:outlineLvl w:val="3"/>
    </w:pPr>
    <w:rPr>
      <w:rFonts w:asciiTheme="majorHAnsi" w:eastAsiaTheme="majorEastAsia" w:hAnsiTheme="majorHAnsi" w:cstheme="majorBidi"/>
      <w:i/>
      <w:iCs/>
      <w:color w:val="404040" w:themeColor="text1" w:themeTint="BF"/>
    </w:rPr>
  </w:style>
  <w:style w:type="paragraph" w:styleId="Heading5">
    <w:name w:val="heading 5"/>
    <w:basedOn w:val="Normal"/>
    <w:next w:val="Normal"/>
    <w:link w:val="Heading5Char"/>
    <w:uiPriority w:val="9"/>
    <w:semiHidden/>
    <w:unhideWhenUsed/>
    <w:qFormat/>
    <w:rsid w:val="0013732D"/>
    <w:pPr>
      <w:keepNext/>
      <w:keepLines/>
      <w:spacing w:before="40" w:after="0"/>
      <w:outlineLvl w:val="4"/>
    </w:pPr>
    <w:rPr>
      <w:rFonts w:asciiTheme="majorHAnsi" w:eastAsiaTheme="majorEastAsia" w:hAnsiTheme="majorHAnsi" w:cstheme="majorBidi"/>
      <w:color w:val="404040" w:themeColor="text1" w:themeTint="BF"/>
    </w:rPr>
  </w:style>
  <w:style w:type="paragraph" w:styleId="Heading6">
    <w:name w:val="heading 6"/>
    <w:basedOn w:val="Normal"/>
    <w:next w:val="Normal"/>
    <w:link w:val="Heading6Char"/>
    <w:uiPriority w:val="9"/>
    <w:semiHidden/>
    <w:unhideWhenUsed/>
    <w:qFormat/>
    <w:rsid w:val="0013732D"/>
    <w:pPr>
      <w:keepNext/>
      <w:keepLines/>
      <w:spacing w:before="40" w:after="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13732D"/>
    <w:pPr>
      <w:keepNext/>
      <w:keepLines/>
      <w:spacing w:before="40"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13732D"/>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13732D"/>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732D"/>
    <w:rPr>
      <w:rFonts w:asciiTheme="majorHAnsi" w:eastAsiaTheme="majorEastAsia" w:hAnsiTheme="majorHAnsi" w:cstheme="majorBidi"/>
      <w:color w:val="262626" w:themeColor="text1" w:themeTint="D9"/>
      <w:sz w:val="32"/>
      <w:szCs w:val="32"/>
    </w:rPr>
  </w:style>
  <w:style w:type="character" w:customStyle="1" w:styleId="Heading2Char">
    <w:name w:val="Heading 2 Char"/>
    <w:basedOn w:val="DefaultParagraphFont"/>
    <w:link w:val="Heading2"/>
    <w:uiPriority w:val="9"/>
    <w:rsid w:val="0013732D"/>
    <w:rPr>
      <w:rFonts w:asciiTheme="majorHAnsi" w:eastAsiaTheme="majorEastAsia" w:hAnsiTheme="majorHAnsi" w:cstheme="majorBidi"/>
      <w:color w:val="262626" w:themeColor="text1" w:themeTint="D9"/>
      <w:sz w:val="28"/>
      <w:szCs w:val="28"/>
    </w:rPr>
  </w:style>
  <w:style w:type="character" w:customStyle="1" w:styleId="Heading3Char">
    <w:name w:val="Heading 3 Char"/>
    <w:basedOn w:val="DefaultParagraphFont"/>
    <w:link w:val="Heading3"/>
    <w:uiPriority w:val="9"/>
    <w:rsid w:val="001B05E5"/>
    <w:rPr>
      <w:rFonts w:asciiTheme="majorHAnsi" w:eastAsiaTheme="majorEastAsia" w:hAnsiTheme="majorHAnsi" w:cstheme="majorBidi"/>
      <w:color w:val="0D0D0D" w:themeColor="text1" w:themeTint="F2"/>
      <w:sz w:val="24"/>
      <w:szCs w:val="24"/>
    </w:rPr>
  </w:style>
  <w:style w:type="character" w:customStyle="1" w:styleId="Heading4Char">
    <w:name w:val="Heading 4 Char"/>
    <w:basedOn w:val="DefaultParagraphFont"/>
    <w:link w:val="Heading4"/>
    <w:uiPriority w:val="9"/>
    <w:rsid w:val="0013732D"/>
    <w:rPr>
      <w:rFonts w:asciiTheme="majorHAnsi" w:eastAsiaTheme="majorEastAsia" w:hAnsiTheme="majorHAnsi" w:cstheme="majorBidi"/>
      <w:i/>
      <w:iCs/>
      <w:color w:val="404040" w:themeColor="text1" w:themeTint="BF"/>
    </w:rPr>
  </w:style>
  <w:style w:type="character" w:customStyle="1" w:styleId="Heading5Char">
    <w:name w:val="Heading 5 Char"/>
    <w:basedOn w:val="DefaultParagraphFont"/>
    <w:link w:val="Heading5"/>
    <w:uiPriority w:val="9"/>
    <w:semiHidden/>
    <w:rsid w:val="0013732D"/>
    <w:rPr>
      <w:rFonts w:asciiTheme="majorHAnsi" w:eastAsiaTheme="majorEastAsia" w:hAnsiTheme="majorHAnsi" w:cstheme="majorBidi"/>
      <w:color w:val="404040" w:themeColor="text1" w:themeTint="BF"/>
    </w:rPr>
  </w:style>
  <w:style w:type="character" w:customStyle="1" w:styleId="Heading6Char">
    <w:name w:val="Heading 6 Char"/>
    <w:basedOn w:val="DefaultParagraphFont"/>
    <w:link w:val="Heading6"/>
    <w:uiPriority w:val="9"/>
    <w:semiHidden/>
    <w:rsid w:val="0013732D"/>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sid w:val="0013732D"/>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13732D"/>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13732D"/>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13732D"/>
    <w:pPr>
      <w:spacing w:after="200" w:line="240" w:lineRule="auto"/>
    </w:pPr>
    <w:rPr>
      <w:i/>
      <w:iCs/>
      <w:color w:val="44546A" w:themeColor="text2"/>
      <w:sz w:val="18"/>
      <w:szCs w:val="18"/>
    </w:rPr>
  </w:style>
  <w:style w:type="paragraph" w:styleId="Title">
    <w:name w:val="Title"/>
    <w:basedOn w:val="Normal"/>
    <w:next w:val="Normal"/>
    <w:link w:val="TitleChar"/>
    <w:uiPriority w:val="10"/>
    <w:qFormat/>
    <w:rsid w:val="0013732D"/>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13732D"/>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13732D"/>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13732D"/>
    <w:rPr>
      <w:color w:val="5A5A5A" w:themeColor="text1" w:themeTint="A5"/>
      <w:spacing w:val="15"/>
    </w:rPr>
  </w:style>
  <w:style w:type="character" w:styleId="Strong">
    <w:name w:val="Strong"/>
    <w:basedOn w:val="DefaultParagraphFont"/>
    <w:uiPriority w:val="22"/>
    <w:qFormat/>
    <w:rsid w:val="0013732D"/>
    <w:rPr>
      <w:b/>
      <w:bCs/>
      <w:color w:val="auto"/>
    </w:rPr>
  </w:style>
  <w:style w:type="character" w:styleId="Emphasis">
    <w:name w:val="Emphasis"/>
    <w:basedOn w:val="DefaultParagraphFont"/>
    <w:uiPriority w:val="20"/>
    <w:qFormat/>
    <w:rsid w:val="0013732D"/>
    <w:rPr>
      <w:i/>
      <w:iCs/>
      <w:color w:val="auto"/>
    </w:rPr>
  </w:style>
  <w:style w:type="paragraph" w:styleId="NoSpacing">
    <w:name w:val="No Spacing"/>
    <w:uiPriority w:val="1"/>
    <w:qFormat/>
    <w:rsid w:val="0013732D"/>
    <w:pPr>
      <w:spacing w:after="0" w:line="240" w:lineRule="auto"/>
    </w:pPr>
  </w:style>
  <w:style w:type="paragraph" w:styleId="Quote">
    <w:name w:val="Quote"/>
    <w:basedOn w:val="Normal"/>
    <w:next w:val="Normal"/>
    <w:link w:val="QuoteChar"/>
    <w:uiPriority w:val="29"/>
    <w:qFormat/>
    <w:rsid w:val="001B05E5"/>
    <w:pPr>
      <w:spacing w:before="200" w:line="240" w:lineRule="auto"/>
      <w:ind w:left="864" w:right="864"/>
    </w:pPr>
    <w:rPr>
      <w:i/>
      <w:iCs/>
      <w:color w:val="404040" w:themeColor="text1" w:themeTint="BF"/>
    </w:rPr>
  </w:style>
  <w:style w:type="character" w:customStyle="1" w:styleId="QuoteChar">
    <w:name w:val="Quote Char"/>
    <w:basedOn w:val="DefaultParagraphFont"/>
    <w:link w:val="Quote"/>
    <w:uiPriority w:val="29"/>
    <w:rsid w:val="001B05E5"/>
    <w:rPr>
      <w:i/>
      <w:iCs/>
      <w:color w:val="404040" w:themeColor="text1" w:themeTint="BF"/>
    </w:rPr>
  </w:style>
  <w:style w:type="paragraph" w:styleId="IntenseQuote">
    <w:name w:val="Intense Quote"/>
    <w:basedOn w:val="Normal"/>
    <w:next w:val="Normal"/>
    <w:link w:val="IntenseQuoteChar"/>
    <w:uiPriority w:val="30"/>
    <w:qFormat/>
    <w:rsid w:val="0013732D"/>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rsid w:val="0013732D"/>
    <w:rPr>
      <w:i/>
      <w:iCs/>
      <w:color w:val="404040" w:themeColor="text1" w:themeTint="BF"/>
    </w:rPr>
  </w:style>
  <w:style w:type="character" w:styleId="SubtleEmphasis">
    <w:name w:val="Subtle Emphasis"/>
    <w:basedOn w:val="DefaultParagraphFont"/>
    <w:uiPriority w:val="19"/>
    <w:qFormat/>
    <w:rsid w:val="0013732D"/>
    <w:rPr>
      <w:i/>
      <w:iCs/>
      <w:color w:val="404040" w:themeColor="text1" w:themeTint="BF"/>
    </w:rPr>
  </w:style>
  <w:style w:type="character" w:styleId="IntenseEmphasis">
    <w:name w:val="Intense Emphasis"/>
    <w:basedOn w:val="DefaultParagraphFont"/>
    <w:uiPriority w:val="21"/>
    <w:qFormat/>
    <w:rsid w:val="0013732D"/>
    <w:rPr>
      <w:b/>
      <w:bCs/>
      <w:i/>
      <w:iCs/>
      <w:color w:val="auto"/>
    </w:rPr>
  </w:style>
  <w:style w:type="character" w:styleId="SubtleReference">
    <w:name w:val="Subtle Reference"/>
    <w:basedOn w:val="DefaultParagraphFont"/>
    <w:uiPriority w:val="31"/>
    <w:qFormat/>
    <w:rsid w:val="0013732D"/>
    <w:rPr>
      <w:smallCaps/>
      <w:color w:val="404040" w:themeColor="text1" w:themeTint="BF"/>
    </w:rPr>
  </w:style>
  <w:style w:type="character" w:styleId="IntenseReference">
    <w:name w:val="Intense Reference"/>
    <w:basedOn w:val="DefaultParagraphFont"/>
    <w:uiPriority w:val="32"/>
    <w:qFormat/>
    <w:rsid w:val="0013732D"/>
    <w:rPr>
      <w:b/>
      <w:bCs/>
      <w:smallCaps/>
      <w:color w:val="404040" w:themeColor="text1" w:themeTint="BF"/>
      <w:spacing w:val="5"/>
    </w:rPr>
  </w:style>
  <w:style w:type="character" w:styleId="BookTitle">
    <w:name w:val="Book Title"/>
    <w:basedOn w:val="DefaultParagraphFont"/>
    <w:uiPriority w:val="33"/>
    <w:qFormat/>
    <w:rsid w:val="0013732D"/>
    <w:rPr>
      <w:b/>
      <w:bCs/>
      <w:i/>
      <w:iCs/>
      <w:spacing w:val="5"/>
    </w:rPr>
  </w:style>
  <w:style w:type="paragraph" w:styleId="TOCHeading">
    <w:name w:val="TOC Heading"/>
    <w:basedOn w:val="Heading1"/>
    <w:next w:val="Normal"/>
    <w:uiPriority w:val="39"/>
    <w:semiHidden/>
    <w:unhideWhenUsed/>
    <w:qFormat/>
    <w:rsid w:val="0013732D"/>
    <w:pPr>
      <w:outlineLvl w:val="9"/>
    </w:pPr>
  </w:style>
  <w:style w:type="paragraph" w:styleId="ListParagraph">
    <w:name w:val="List Paragraph"/>
    <w:basedOn w:val="Normal"/>
    <w:uiPriority w:val="34"/>
    <w:qFormat/>
    <w:rsid w:val="007379D6"/>
    <w:pPr>
      <w:ind w:left="720"/>
      <w:contextualSpacing/>
    </w:pPr>
  </w:style>
  <w:style w:type="character" w:styleId="Hyperlink">
    <w:name w:val="Hyperlink"/>
    <w:basedOn w:val="DefaultParagraphFont"/>
    <w:uiPriority w:val="99"/>
    <w:unhideWhenUsed/>
    <w:rsid w:val="007379D6"/>
    <w:rPr>
      <w:color w:val="0563C1" w:themeColor="hyperlink"/>
      <w:u w:val="single"/>
    </w:rPr>
  </w:style>
  <w:style w:type="character" w:styleId="FollowedHyperlink">
    <w:name w:val="FollowedHyperlink"/>
    <w:basedOn w:val="DefaultParagraphFont"/>
    <w:uiPriority w:val="99"/>
    <w:semiHidden/>
    <w:unhideWhenUsed/>
    <w:rsid w:val="00A26800"/>
    <w:rPr>
      <w:color w:val="954F72" w:themeColor="followedHyperlink"/>
      <w:u w:val="single"/>
    </w:rPr>
  </w:style>
  <w:style w:type="paragraph" w:styleId="BalloonText">
    <w:name w:val="Balloon Text"/>
    <w:basedOn w:val="Normal"/>
    <w:link w:val="BalloonTextChar"/>
    <w:uiPriority w:val="99"/>
    <w:semiHidden/>
    <w:unhideWhenUsed/>
    <w:rsid w:val="002B77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B77B7"/>
    <w:rPr>
      <w:rFonts w:ascii="Segoe UI" w:hAnsi="Segoe UI" w:cs="Segoe UI"/>
      <w:sz w:val="18"/>
      <w:szCs w:val="18"/>
    </w:rPr>
  </w:style>
  <w:style w:type="character" w:styleId="PlaceholderText">
    <w:name w:val="Placeholder Text"/>
    <w:basedOn w:val="DefaultParagraphFont"/>
    <w:uiPriority w:val="99"/>
    <w:semiHidden/>
    <w:rsid w:val="00E36A81"/>
    <w:rPr>
      <w:color w:val="808080"/>
    </w:rPr>
  </w:style>
  <w:style w:type="character" w:styleId="CommentReference">
    <w:name w:val="annotation reference"/>
    <w:basedOn w:val="DefaultParagraphFont"/>
    <w:uiPriority w:val="99"/>
    <w:semiHidden/>
    <w:unhideWhenUsed/>
    <w:rsid w:val="002548BF"/>
    <w:rPr>
      <w:sz w:val="16"/>
      <w:szCs w:val="16"/>
    </w:rPr>
  </w:style>
  <w:style w:type="paragraph" w:styleId="CommentText">
    <w:name w:val="annotation text"/>
    <w:basedOn w:val="Normal"/>
    <w:link w:val="CommentTextChar"/>
    <w:uiPriority w:val="99"/>
    <w:semiHidden/>
    <w:unhideWhenUsed/>
    <w:rsid w:val="002548BF"/>
    <w:pPr>
      <w:spacing w:line="240" w:lineRule="auto"/>
    </w:pPr>
    <w:rPr>
      <w:sz w:val="20"/>
      <w:szCs w:val="20"/>
    </w:rPr>
  </w:style>
  <w:style w:type="character" w:customStyle="1" w:styleId="CommentTextChar">
    <w:name w:val="Comment Text Char"/>
    <w:basedOn w:val="DefaultParagraphFont"/>
    <w:link w:val="CommentText"/>
    <w:uiPriority w:val="99"/>
    <w:semiHidden/>
    <w:rsid w:val="002548BF"/>
    <w:rPr>
      <w:rFonts w:ascii="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548BF"/>
    <w:rPr>
      <w:b/>
      <w:bCs/>
    </w:rPr>
  </w:style>
  <w:style w:type="character" w:customStyle="1" w:styleId="CommentSubjectChar">
    <w:name w:val="Comment Subject Char"/>
    <w:basedOn w:val="CommentTextChar"/>
    <w:link w:val="CommentSubject"/>
    <w:uiPriority w:val="99"/>
    <w:semiHidden/>
    <w:rsid w:val="002548BF"/>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516476">
      <w:bodyDiv w:val="1"/>
      <w:marLeft w:val="0"/>
      <w:marRight w:val="0"/>
      <w:marTop w:val="0"/>
      <w:marBottom w:val="0"/>
      <w:divBdr>
        <w:top w:val="none" w:sz="0" w:space="0" w:color="auto"/>
        <w:left w:val="none" w:sz="0" w:space="0" w:color="auto"/>
        <w:bottom w:val="none" w:sz="0" w:space="0" w:color="auto"/>
        <w:right w:val="none" w:sz="0" w:space="0" w:color="auto"/>
      </w:divBdr>
    </w:div>
    <w:div w:id="19050667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academic.oup.com/icb/pages/General_Instructions" TargetMode="Externa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6/09/relationships/commentsIds" Target="commentsId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6FF503-D48B-4FE8-95E1-8B422FA5F5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18569</TotalTime>
  <Pages>13</Pages>
  <Words>7308</Words>
  <Characters>41656</Characters>
  <Application>Microsoft Office Word</Application>
  <DocSecurity>0</DocSecurity>
  <Lines>347</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 Schaefer</dc:creator>
  <cp:keywords/>
  <dc:description/>
  <cp:lastModifiedBy>Rob Schaefer</cp:lastModifiedBy>
  <cp:revision>231</cp:revision>
  <dcterms:created xsi:type="dcterms:W3CDTF">2020-02-10T19:06:00Z</dcterms:created>
  <dcterms:modified xsi:type="dcterms:W3CDTF">2020-03-23T23:33:00Z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http://www.zotero.org/styles/council-of-science-editors-author-date</vt:lpwstr>
  </property>
  <property fmtid="{D5CDD505-2E9C-101B-9397-08002B2CF9AE}" pid="4" name="Mendeley Unique User Id_1">
    <vt:lpwstr>4dcf7032-2a8f-34d1-b01d-8addf48ccc2a</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http://www.zotero.org/styles/chicago-author-date</vt:lpwstr>
  </property>
  <property fmtid="{D5CDD505-2E9C-101B-9397-08002B2CF9AE}" pid="12" name="Mendeley Recent Style Name 3_1">
    <vt:lpwstr>Chicago Manual of Style 17th edition (author-date)</vt:lpwstr>
  </property>
  <property fmtid="{D5CDD505-2E9C-101B-9397-08002B2CF9AE}" pid="13" name="Mendeley Recent Style Id 4_1">
    <vt:lpwstr>http://www.zotero.org/styles/council-of-science-editors-author-date</vt:lpwstr>
  </property>
  <property fmtid="{D5CDD505-2E9C-101B-9397-08002B2CF9AE}" pid="14" name="Mendeley Recent Style Name 4_1">
    <vt:lpwstr>Council of Science Editors, Name-Year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http://www.zotero.org/styles/integrative-and-comparative-biology</vt:lpwstr>
  </property>
  <property fmtid="{D5CDD505-2E9C-101B-9397-08002B2CF9AE}" pid="18" name="Mendeley Recent Style Name 6_1">
    <vt:lpwstr>Integrative &amp; Comparative Biology</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8th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ies>
</file>