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735" w:rsidRDefault="00365735">
      <w:pPr>
        <w:rPr>
          <w:b/>
        </w:rPr>
      </w:pPr>
      <w:r>
        <w:rPr>
          <w:b/>
          <w:u w:val="single"/>
        </w:rPr>
        <w:t>Introduction</w:t>
      </w:r>
    </w:p>
    <w:p w:rsidR="00B2439E" w:rsidRDefault="00B2439E" w:rsidP="00365735">
      <w:pPr>
        <w:ind w:firstLine="720"/>
      </w:pPr>
    </w:p>
    <w:p w:rsidR="00365735" w:rsidRDefault="00365735" w:rsidP="00365735">
      <w:pPr>
        <w:ind w:firstLine="720"/>
      </w:pPr>
      <w:r>
        <w:t xml:space="preserve">The </w:t>
      </w:r>
      <w:proofErr w:type="spellStart"/>
      <w:r>
        <w:t>CheckMotion</w:t>
      </w:r>
      <w:proofErr w:type="spellEnd"/>
      <w:r>
        <w:t xml:space="preserve"> scripts are a quality checking tool for 4D fMRI images saved in the </w:t>
      </w:r>
      <w:proofErr w:type="spellStart"/>
      <w:r w:rsidR="002258AC">
        <w:t>nifti</w:t>
      </w:r>
      <w:proofErr w:type="spellEnd"/>
      <w:r>
        <w:t xml:space="preserve"> format.  </w:t>
      </w:r>
      <w:r w:rsidR="002258AC">
        <w:t xml:space="preserve">They are intended to summarize subject motion using the motion parameter files generated from the realignment stage in preprocessing.  The scripts are written in </w:t>
      </w:r>
      <w:proofErr w:type="spellStart"/>
      <w:r w:rsidR="002258AC">
        <w:t>Matlab</w:t>
      </w:r>
      <w:proofErr w:type="spellEnd"/>
      <w:r w:rsidR="002258AC">
        <w:t xml:space="preserve"> and include a template and central file like other </w:t>
      </w:r>
      <w:proofErr w:type="spellStart"/>
      <w:r w:rsidR="002258AC">
        <w:t>MethodsCore</w:t>
      </w:r>
      <w:proofErr w:type="spellEnd"/>
      <w:r w:rsidR="002258AC">
        <w:t xml:space="preserve"> scripts.  The user only needs to set the varia</w:t>
      </w:r>
      <w:r w:rsidR="009E1A81">
        <w:t>ble values in the template file</w:t>
      </w:r>
      <w:r w:rsidR="002258AC">
        <w:t xml:space="preserve"> to run </w:t>
      </w:r>
      <w:proofErr w:type="spellStart"/>
      <w:r w:rsidR="002258AC">
        <w:t>CheckMotion</w:t>
      </w:r>
      <w:proofErr w:type="spellEnd"/>
      <w:r w:rsidR="002258AC">
        <w:t>.</w:t>
      </w:r>
    </w:p>
    <w:p w:rsidR="00B2439E" w:rsidRDefault="00B2439E" w:rsidP="00B2439E"/>
    <w:p w:rsidR="00B2439E" w:rsidRDefault="00B2439E" w:rsidP="00B2439E">
      <w:r>
        <w:rPr>
          <w:b/>
          <w:u w:val="single"/>
        </w:rPr>
        <w:t>Template File</w:t>
      </w:r>
    </w:p>
    <w:p w:rsidR="00B2439E" w:rsidRDefault="00B2439E" w:rsidP="00B2439E"/>
    <w:p w:rsidR="00E93ECA" w:rsidRDefault="00B716D3" w:rsidP="00B716D3">
      <w:r>
        <w:tab/>
        <w:t>The template file is an m-file in which the user has to set each variable value listed in it. Each variable includes a description of its purpose above it in the template file, so hopefully setting the values is self-explanatory. The variables to specify path names use a standardized format. The file “</w:t>
      </w:r>
      <w:r w:rsidRPr="00B716D3">
        <w:rPr>
          <w:b/>
        </w:rPr>
        <w:t>Path Template Documentation.pdf</w:t>
      </w:r>
      <w:r>
        <w:t xml:space="preserve">” directly in the </w:t>
      </w:r>
      <w:proofErr w:type="spellStart"/>
      <w:r>
        <w:t>MethodsCore</w:t>
      </w:r>
      <w:proofErr w:type="spellEnd"/>
      <w:r>
        <w:t xml:space="preserve"> repository explains the standardized format.</w:t>
      </w:r>
    </w:p>
    <w:p w:rsidR="00B716D3" w:rsidRDefault="00B716D3" w:rsidP="00B716D3"/>
    <w:p w:rsidR="00B716D3" w:rsidRDefault="00B716D3" w:rsidP="00B716D3">
      <w:r>
        <w:tab/>
        <w:t xml:space="preserve">We will only go over some variables that need further clarification. </w:t>
      </w:r>
      <w:proofErr w:type="spellStart"/>
      <w:r>
        <w:rPr>
          <w:b/>
        </w:rPr>
        <w:t>SubjDir</w:t>
      </w:r>
      <w:proofErr w:type="spellEnd"/>
      <w:r w:rsidR="00AC296D">
        <w:t xml:space="preserve"> is an Nx3 cell array where N is the number of subjects included</w:t>
      </w:r>
      <w:r w:rsidR="006C6CCD">
        <w:t xml:space="preserve"> and the columns are separated by commas</w:t>
      </w:r>
      <w:r w:rsidR="00AC296D">
        <w:t>. Column1 lists the subject name</w:t>
      </w:r>
      <w:r w:rsidR="006C6CCD">
        <w:t xml:space="preserve"> as it appears on disk</w:t>
      </w:r>
      <w:r w:rsidR="00AC296D">
        <w:t xml:space="preserve">. Column 2 is the subject’s number. Its value is not used, so it can be set to any scalar value if needed. Column3 is a vector and lists the runs to include </w:t>
      </w:r>
      <w:r w:rsidR="0031159F">
        <w:t xml:space="preserve">as indexed into the variable </w:t>
      </w:r>
      <w:proofErr w:type="spellStart"/>
      <w:r w:rsidR="0031159F">
        <w:rPr>
          <w:b/>
        </w:rPr>
        <w:t>RunDir</w:t>
      </w:r>
      <w:proofErr w:type="spellEnd"/>
      <w:r w:rsidR="00AC296D">
        <w:t xml:space="preserve">. </w:t>
      </w:r>
      <w:proofErr w:type="spellStart"/>
      <w:r w:rsidR="00AC296D" w:rsidRPr="0031159F">
        <w:t>RunDir</w:t>
      </w:r>
      <w:proofErr w:type="spellEnd"/>
      <w:r w:rsidR="00AC296D">
        <w:rPr>
          <w:b/>
        </w:rPr>
        <w:t xml:space="preserve"> </w:t>
      </w:r>
      <w:r w:rsidR="00AC296D">
        <w:t>is a cell array that lists all possible runs</w:t>
      </w:r>
      <w:r w:rsidR="006C6CCD">
        <w:t xml:space="preserve"> as they appear on disk</w:t>
      </w:r>
      <w:r w:rsidR="00AC296D">
        <w:t xml:space="preserve">. Below gives example values for </w:t>
      </w:r>
      <w:proofErr w:type="spellStart"/>
      <w:r w:rsidR="00AC296D">
        <w:t>SubjDir</w:t>
      </w:r>
      <w:proofErr w:type="spellEnd"/>
      <w:r w:rsidR="00AC296D">
        <w:t xml:space="preserve"> and </w:t>
      </w:r>
      <w:proofErr w:type="spellStart"/>
      <w:r w:rsidR="00AC296D">
        <w:t>RunDir</w:t>
      </w:r>
      <w:proofErr w:type="spellEnd"/>
      <w:r w:rsidR="00AC296D">
        <w:t>:</w:t>
      </w:r>
    </w:p>
    <w:p w:rsidR="00AC296D" w:rsidRDefault="00AC296D" w:rsidP="00B716D3"/>
    <w:p w:rsidR="00AC296D" w:rsidRDefault="00AC296D" w:rsidP="00B716D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SubjDir = {</w:t>
      </w:r>
    </w:p>
    <w:p w:rsidR="00AC296D" w:rsidRDefault="00AC296D" w:rsidP="00B716D3">
      <w:pPr>
        <w:rPr>
          <w:rFonts w:ascii="Courier New" w:hAnsi="Courier New" w:cs="Courier New"/>
          <w:noProof/>
          <w:color w:val="000000" w:themeColor="text1"/>
        </w:rPr>
      </w:pPr>
      <w:r w:rsidRPr="00AC296D">
        <w:rPr>
          <w:rFonts w:ascii="Courier New" w:hAnsi="Courier New" w:cs="Courier New"/>
          <w:noProof/>
          <w:color w:val="EB1BC3"/>
        </w:rPr>
        <w:t>‘5001/</w:t>
      </w:r>
      <w:r>
        <w:rPr>
          <w:rFonts w:ascii="Courier New" w:hAnsi="Courier New" w:cs="Courier New"/>
          <w:noProof/>
          <w:color w:val="EB1BC3"/>
        </w:rPr>
        <w:t>Tx1/’</w:t>
      </w:r>
      <w:r>
        <w:rPr>
          <w:rFonts w:ascii="Courier New" w:hAnsi="Courier New" w:cs="Courier New"/>
          <w:noProof/>
          <w:color w:val="000000" w:themeColor="text1"/>
        </w:rPr>
        <w:t>, 1, [1 2 3];</w:t>
      </w:r>
    </w:p>
    <w:p w:rsidR="00AC296D" w:rsidRDefault="00AC296D" w:rsidP="00B716D3">
      <w:pPr>
        <w:rPr>
          <w:rFonts w:ascii="Courier New" w:hAnsi="Courier New" w:cs="Courier New"/>
          <w:noProof/>
          <w:color w:val="000000" w:themeColor="text1"/>
        </w:rPr>
      </w:pPr>
      <w:r>
        <w:rPr>
          <w:rFonts w:ascii="Courier New" w:hAnsi="Courier New" w:cs="Courier New"/>
          <w:noProof/>
          <w:color w:val="EB1BC3"/>
        </w:rPr>
        <w:t>‘5002/Tx1/’</w:t>
      </w:r>
      <w:r>
        <w:rPr>
          <w:rFonts w:ascii="Courier New" w:hAnsi="Courier New" w:cs="Courier New"/>
          <w:noProof/>
          <w:color w:val="000000" w:themeColor="text1"/>
        </w:rPr>
        <w:t>, 1, [1 3];</w:t>
      </w:r>
    </w:p>
    <w:p w:rsidR="00AC296D" w:rsidRDefault="00AC296D" w:rsidP="00B716D3">
      <w:pPr>
        <w:rPr>
          <w:rFonts w:ascii="Courier New" w:hAnsi="Courier New" w:cs="Courier New"/>
          <w:noProof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t>};</w:t>
      </w:r>
    </w:p>
    <w:p w:rsidR="00AC296D" w:rsidRDefault="00AC296D" w:rsidP="00B716D3">
      <w:pPr>
        <w:rPr>
          <w:rFonts w:ascii="Courier New" w:hAnsi="Courier New" w:cs="Courier New"/>
          <w:noProof/>
          <w:color w:val="000000" w:themeColor="text1"/>
        </w:rPr>
      </w:pPr>
    </w:p>
    <w:p w:rsidR="00AC296D" w:rsidRDefault="00AC296D" w:rsidP="00B716D3">
      <w:pPr>
        <w:rPr>
          <w:rFonts w:ascii="Courier New" w:hAnsi="Courier New" w:cs="Courier New"/>
          <w:noProof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w:t>RunDir = {</w:t>
      </w:r>
    </w:p>
    <w:p w:rsidR="00AC296D" w:rsidRDefault="00AC296D" w:rsidP="00B716D3">
      <w:pPr>
        <w:rPr>
          <w:rFonts w:ascii="Courier New" w:hAnsi="Courier New" w:cs="Courier New"/>
          <w:noProof/>
          <w:color w:val="EB1BC3"/>
        </w:rPr>
      </w:pPr>
      <w:r>
        <w:rPr>
          <w:rFonts w:ascii="Courier New" w:hAnsi="Courier New" w:cs="Courier New"/>
          <w:noProof/>
          <w:color w:val="EB1BC3"/>
        </w:rPr>
        <w:t>‘run_01’</w:t>
      </w:r>
      <w:r>
        <w:rPr>
          <w:rFonts w:ascii="Courier New" w:hAnsi="Courier New" w:cs="Courier New"/>
          <w:noProof/>
        </w:rPr>
        <w:t>;</w:t>
      </w:r>
    </w:p>
    <w:p w:rsidR="00AC296D" w:rsidRDefault="00AC296D" w:rsidP="00B716D3">
      <w:pPr>
        <w:rPr>
          <w:rFonts w:ascii="Courier New" w:hAnsi="Courier New" w:cs="Courier New"/>
          <w:noProof/>
          <w:color w:val="EB1BC3"/>
        </w:rPr>
      </w:pPr>
      <w:r>
        <w:rPr>
          <w:rFonts w:ascii="Courier New" w:hAnsi="Courier New" w:cs="Courier New"/>
          <w:noProof/>
          <w:color w:val="EB1BC3"/>
        </w:rPr>
        <w:t>‘run_02’</w:t>
      </w:r>
      <w:r>
        <w:rPr>
          <w:rFonts w:ascii="Courier New" w:hAnsi="Courier New" w:cs="Courier New"/>
          <w:noProof/>
        </w:rPr>
        <w:t>;</w:t>
      </w:r>
    </w:p>
    <w:p w:rsidR="00AC296D" w:rsidRDefault="00AC296D" w:rsidP="00B716D3">
      <w:pPr>
        <w:rPr>
          <w:rFonts w:ascii="Courier New" w:hAnsi="Courier New" w:cs="Courier New"/>
          <w:noProof/>
          <w:color w:val="EB1BC3"/>
        </w:rPr>
      </w:pPr>
      <w:r>
        <w:rPr>
          <w:rFonts w:ascii="Courier New" w:hAnsi="Courier New" w:cs="Courier New"/>
          <w:noProof/>
          <w:color w:val="EB1BC3"/>
        </w:rPr>
        <w:t>‘run_03’</w:t>
      </w:r>
      <w:r>
        <w:rPr>
          <w:rFonts w:ascii="Courier New" w:hAnsi="Courier New" w:cs="Courier New"/>
          <w:noProof/>
        </w:rPr>
        <w:t>;</w:t>
      </w:r>
    </w:p>
    <w:p w:rsidR="00AC296D" w:rsidRDefault="00AC296D" w:rsidP="00B716D3">
      <w:pPr>
        <w:rPr>
          <w:rFonts w:ascii="Courier New" w:hAnsi="Courier New" w:cs="Courier New"/>
          <w:noProof/>
          <w:color w:val="EB1BC3"/>
        </w:rPr>
      </w:pPr>
      <w:r>
        <w:rPr>
          <w:rFonts w:ascii="Courier New" w:hAnsi="Courier New" w:cs="Courier New"/>
          <w:noProof/>
          <w:color w:val="EB1BC3"/>
        </w:rPr>
        <w:t>‘run_04’</w:t>
      </w:r>
      <w:r>
        <w:rPr>
          <w:rFonts w:ascii="Courier New" w:hAnsi="Courier New" w:cs="Courier New"/>
          <w:noProof/>
        </w:rPr>
        <w:t>;</w:t>
      </w:r>
    </w:p>
    <w:p w:rsidR="00AC296D" w:rsidRDefault="00AC296D" w:rsidP="00B716D3">
      <w:pPr>
        <w:rPr>
          <w:rFonts w:ascii="Courier New" w:hAnsi="Courier New" w:cs="Courier New"/>
          <w:noProof/>
          <w:color w:val="EB1BC3"/>
        </w:rPr>
      </w:pPr>
      <w:r>
        <w:rPr>
          <w:rFonts w:ascii="Courier New" w:hAnsi="Courier New" w:cs="Courier New"/>
          <w:noProof/>
          <w:color w:val="EB1BC3"/>
        </w:rPr>
        <w:t>‘run_05’</w:t>
      </w:r>
      <w:r>
        <w:rPr>
          <w:rFonts w:ascii="Courier New" w:hAnsi="Courier New" w:cs="Courier New"/>
          <w:noProof/>
        </w:rPr>
        <w:t>;</w:t>
      </w:r>
    </w:p>
    <w:p w:rsidR="00AC296D" w:rsidRDefault="00AC296D" w:rsidP="00B716D3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};</w:t>
      </w:r>
    </w:p>
    <w:p w:rsidR="006C6CCD" w:rsidRDefault="006C6CCD" w:rsidP="00B716D3">
      <w:pPr>
        <w:rPr>
          <w:rFonts w:ascii="Courier New" w:hAnsi="Courier New" w:cs="Courier New"/>
          <w:noProof/>
        </w:rPr>
      </w:pPr>
    </w:p>
    <w:p w:rsidR="00E51AE5" w:rsidRDefault="006C6CCD" w:rsidP="00B716D3">
      <w:pPr>
        <w:rPr>
          <w:noProof/>
        </w:rPr>
      </w:pPr>
      <w:r>
        <w:rPr>
          <w:noProof/>
        </w:rPr>
        <w:t>In SubjDir, there are two subjects lis</w:t>
      </w:r>
      <w:r w:rsidR="0031159F">
        <w:rPr>
          <w:noProof/>
        </w:rPr>
        <w:t>ted and RunDir lists five runs. For the first subject, the runs to include vector is [1 2 3]. These values are indexed into RunDir, so the included runs for subject 5001/Tx1/ are run_01, run_02, and run_03. Similarly, for subject 5002/Tx1, the included runs are run_01 and run_03.</w:t>
      </w:r>
      <w:r w:rsidR="00BE515F">
        <w:rPr>
          <w:noProof/>
        </w:rPr>
        <w:t xml:space="preserve"> Notice both subjects have the </w:t>
      </w:r>
      <w:r w:rsidR="00C23B0F">
        <w:rPr>
          <w:noProof/>
        </w:rPr>
        <w:t>same subject number (column</w:t>
      </w:r>
      <w:r w:rsidR="00BE515F">
        <w:rPr>
          <w:noProof/>
        </w:rPr>
        <w:t xml:space="preserve"> 2). While this is not good practice, the script will still run, because this value is not used.</w:t>
      </w:r>
    </w:p>
    <w:p w:rsidR="009716EE" w:rsidRDefault="009716EE" w:rsidP="00B716D3">
      <w:pPr>
        <w:rPr>
          <w:noProof/>
        </w:rPr>
      </w:pPr>
    </w:p>
    <w:p w:rsidR="006C6CCD" w:rsidRDefault="00C23B0F" w:rsidP="00B716D3">
      <w:pPr>
        <w:rPr>
          <w:noProof/>
        </w:rPr>
      </w:pPr>
      <w:r>
        <w:rPr>
          <w:noProof/>
        </w:rPr>
        <w:tab/>
        <w:t xml:space="preserve">The variables </w:t>
      </w:r>
      <w:r>
        <w:rPr>
          <w:b/>
          <w:noProof/>
        </w:rPr>
        <w:t>LeverArm</w:t>
      </w:r>
      <w:r>
        <w:rPr>
          <w:noProof/>
        </w:rPr>
        <w:t xml:space="preserve">, </w:t>
      </w:r>
      <w:r>
        <w:rPr>
          <w:b/>
          <w:noProof/>
        </w:rPr>
        <w:t>FDLeverArm</w:t>
      </w:r>
      <w:r>
        <w:rPr>
          <w:noProof/>
        </w:rPr>
        <w:t xml:space="preserve">, </w:t>
      </w:r>
      <w:r>
        <w:rPr>
          <w:b/>
          <w:noProof/>
        </w:rPr>
        <w:t>FDcriteria</w:t>
      </w:r>
      <w:r>
        <w:rPr>
          <w:noProof/>
        </w:rPr>
        <w:t xml:space="preserve">, </w:t>
      </w:r>
      <w:r>
        <w:rPr>
          <w:b/>
          <w:noProof/>
        </w:rPr>
        <w:t>FramesBefore</w:t>
      </w:r>
      <w:r>
        <w:rPr>
          <w:noProof/>
        </w:rPr>
        <w:t xml:space="preserve">, and </w:t>
      </w:r>
      <w:r>
        <w:rPr>
          <w:b/>
          <w:noProof/>
        </w:rPr>
        <w:t>FramesAfter</w:t>
      </w:r>
      <w:r>
        <w:rPr>
          <w:noProof/>
        </w:rPr>
        <w:t xml:space="preserve"> set the values for the assumptions made when summaryizing motion. Typically these variables do not need to be changed from the default. </w:t>
      </w:r>
      <w:r w:rsidR="00FC663C">
        <w:rPr>
          <w:noProof/>
        </w:rPr>
        <w:t xml:space="preserve">The metrics used to </w:t>
      </w:r>
      <w:r w:rsidR="00FC663C">
        <w:rPr>
          <w:noProof/>
        </w:rPr>
        <w:lastRenderedPageBreak/>
        <w:t xml:space="preserve">summarize motion are Euclidean displacement and frame displacement (FD). For more information about Euclidean displacement, check the file MethodsCore/matlabScripts/euclideandisplacement.pdf.  Frame displacement is a single scalar value which summarizes motion </w:t>
      </w:r>
      <w:r w:rsidR="00305A62">
        <w:rPr>
          <w:noProof/>
        </w:rPr>
        <w:t>for one frame relative to the previous frame</w:t>
      </w:r>
      <w:r w:rsidR="00FC663C">
        <w:rPr>
          <w:noProof/>
        </w:rPr>
        <w:t xml:space="preserve"> (Power et al 2011). It is in units of millimeters and is given by the following equation:</w:t>
      </w:r>
    </w:p>
    <w:p w:rsidR="00FC663C" w:rsidRDefault="00FC663C" w:rsidP="00B716D3">
      <w:pPr>
        <w:rPr>
          <w:noProof/>
        </w:rPr>
      </w:pPr>
    </w:p>
    <w:p w:rsidR="006C6CCD" w:rsidRPr="005F205E" w:rsidRDefault="00FC663C" w:rsidP="005F205E">
      <w:pPr>
        <w:jc w:val="center"/>
        <w:rPr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FD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∆d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ix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∆d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iy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∆d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iz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∆α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∆β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</w:rPr>
            <m:t>+|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∆γ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|</m:t>
          </m:r>
        </m:oMath>
      </m:oMathPara>
    </w:p>
    <w:p w:rsidR="005F205E" w:rsidRDefault="005F205E" w:rsidP="005F205E">
      <w:pPr>
        <w:jc w:val="center"/>
        <w:rPr>
          <w:noProof/>
        </w:rPr>
      </w:pPr>
    </w:p>
    <w:p w:rsidR="005F205E" w:rsidRDefault="005F205E" w:rsidP="005F205E">
      <w:pPr>
        <w:rPr>
          <w:noProof/>
        </w:rPr>
      </w:pPr>
      <w:r>
        <w:rPr>
          <w:noProof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∆d</m:t>
            </m:r>
          </m:e>
          <m:sub>
            <m:r>
              <w:rPr>
                <w:rFonts w:ascii="Cambria Math" w:hAnsi="Cambria Math"/>
                <w:noProof/>
              </w:rPr>
              <m:t>ix</m:t>
            </m:r>
          </m:sub>
        </m:sSub>
        <m: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i-1</m:t>
                </m:r>
              </m:e>
            </m:d>
            <m:r>
              <w:rPr>
                <w:rFonts w:ascii="Cambria Math" w:hAnsi="Cambria Math"/>
                <w:noProof/>
              </w:rPr>
              <m:t>x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ix</m:t>
            </m:r>
          </m:sub>
        </m:sSub>
      </m:oMath>
      <w:r>
        <w:rPr>
          <w:noProof/>
        </w:rPr>
        <w:t xml:space="preserve"> and </w:t>
      </w:r>
    </w:p>
    <w:p w:rsidR="00804EE1" w:rsidRDefault="00804EE1" w:rsidP="005F205E">
      <w:pPr>
        <w:rPr>
          <w:noProof/>
        </w:rPr>
      </w:pPr>
    </w:p>
    <w:p w:rsidR="005F205E" w:rsidRPr="005F205E" w:rsidRDefault="005F205E" w:rsidP="005F205E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</w:rPr>
                <m:t>ix</m:t>
              </m:r>
            </m:sub>
          </m:sSub>
          <m:r>
            <w:rPr>
              <w:rFonts w:ascii="Cambria Math" w:hAnsi="Cambria Math"/>
              <w:noProof/>
            </w:rPr>
            <m:t>=x translational parameter at volume i</m:t>
          </m:r>
        </m:oMath>
      </m:oMathPara>
    </w:p>
    <w:p w:rsidR="005F205E" w:rsidRPr="005F205E" w:rsidRDefault="005F205E" w:rsidP="005F205E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</w:rPr>
                <m:t>iy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y</m:t>
          </m:r>
          <m:r>
            <w:rPr>
              <w:rFonts w:ascii="Cambria Math" w:hAnsi="Cambria Math"/>
              <w:noProof/>
            </w:rPr>
            <m:t xml:space="preserve"> translational parameter at volume i</m:t>
          </m:r>
        </m:oMath>
      </m:oMathPara>
    </w:p>
    <w:p w:rsidR="005F205E" w:rsidRPr="005F205E" w:rsidRDefault="005F205E" w:rsidP="005F205E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d</m:t>
              </m:r>
            </m:e>
            <m:sub>
              <m:r>
                <w:rPr>
                  <w:rFonts w:ascii="Cambria Math" w:hAnsi="Cambria Math"/>
                  <w:noProof/>
                </w:rPr>
                <m:t>iz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z</m:t>
          </m:r>
          <m:r>
            <w:rPr>
              <w:rFonts w:ascii="Cambria Math" w:hAnsi="Cambria Math"/>
              <w:noProof/>
            </w:rPr>
            <m:t xml:space="preserve"> translational parameter at volume i</m:t>
          </m:r>
        </m:oMath>
      </m:oMathPara>
    </w:p>
    <w:p w:rsidR="005F205E" w:rsidRPr="005F205E" w:rsidRDefault="005F205E" w:rsidP="005F205E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α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pitch</m:t>
          </m:r>
          <m: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  <w:noProof/>
            </w:rPr>
            <m:t>rotational</m:t>
          </m:r>
          <m:r>
            <w:rPr>
              <w:rFonts w:ascii="Cambria Math" w:hAnsi="Cambria Math"/>
              <w:noProof/>
            </w:rPr>
            <m:t xml:space="preserve"> parameter at volume i</m:t>
          </m:r>
        </m:oMath>
      </m:oMathPara>
    </w:p>
    <w:p w:rsidR="005F205E" w:rsidRPr="00804EE1" w:rsidRDefault="005F205E" w:rsidP="005F205E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β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yaw</m:t>
          </m:r>
          <m:r>
            <w:rPr>
              <w:rFonts w:ascii="Cambria Math" w:hAnsi="Cambria Math"/>
              <w:noProof/>
            </w:rPr>
            <m:t xml:space="preserve"> </m:t>
          </m:r>
          <m:r>
            <w:rPr>
              <w:rFonts w:ascii="Cambria Math" w:hAnsi="Cambria Math"/>
              <w:noProof/>
            </w:rPr>
            <m:t>rotational</m:t>
          </m:r>
          <m:r>
            <w:rPr>
              <w:rFonts w:ascii="Cambria Math" w:hAnsi="Cambria Math"/>
              <w:noProof/>
            </w:rPr>
            <m:t xml:space="preserve"> parameter at volume i</m:t>
          </m:r>
        </m:oMath>
      </m:oMathPara>
    </w:p>
    <w:p w:rsidR="00804EE1" w:rsidRPr="00804EE1" w:rsidRDefault="00804EE1" w:rsidP="005F205E">
      <w:pPr>
        <w:rPr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γ</m:t>
              </m:r>
            </m:e>
            <m:sub>
              <m:r>
                <w:rPr>
                  <w:rFonts w:ascii="Cambria Math" w:hAnsi="Cambria Math"/>
                  <w:noProof/>
                </w:rPr>
                <m:t>i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roll rotational parameter at volume i</m:t>
          </m:r>
        </m:oMath>
      </m:oMathPara>
    </w:p>
    <w:p w:rsidR="00804EE1" w:rsidRPr="005F205E" w:rsidRDefault="00804EE1" w:rsidP="005F205E">
      <w:pPr>
        <w:rPr>
          <w:noProof/>
        </w:rPr>
      </w:pPr>
    </w:p>
    <w:p w:rsidR="006C6CCD" w:rsidRDefault="00804EE1" w:rsidP="00B716D3">
      <w:pPr>
        <w:rPr>
          <w:noProof/>
        </w:rPr>
      </w:pPr>
      <w:r>
        <w:rPr>
          <w:noProof/>
        </w:rPr>
        <w:t xml:space="preserve">Rotational displacements are converted from degrees to millimeters by calculating displacement on the surface of a sphere or radius given value of the variable </w:t>
      </w:r>
      <w:r w:rsidRPr="00470BAE">
        <w:rPr>
          <w:b/>
          <w:noProof/>
        </w:rPr>
        <w:t>FDLeverArm</w:t>
      </w:r>
      <w:r>
        <w:rPr>
          <w:noProof/>
        </w:rPr>
        <w:t>.</w:t>
      </w:r>
    </w:p>
    <w:p w:rsidR="006C6CCD" w:rsidRDefault="006C6CCD" w:rsidP="00B716D3">
      <w:pPr>
        <w:rPr>
          <w:noProof/>
        </w:rPr>
      </w:pPr>
    </w:p>
    <w:p w:rsidR="00BE745B" w:rsidRDefault="00BE745B" w:rsidP="00B716D3">
      <w:pPr>
        <w:rPr>
          <w:noProof/>
        </w:rPr>
      </w:pPr>
      <w:r>
        <w:rPr>
          <w:b/>
          <w:noProof/>
          <w:u w:val="single"/>
        </w:rPr>
        <w:t>Output</w:t>
      </w:r>
    </w:p>
    <w:p w:rsidR="00BE745B" w:rsidRDefault="00BE745B" w:rsidP="00B716D3">
      <w:pPr>
        <w:rPr>
          <w:noProof/>
        </w:rPr>
      </w:pPr>
    </w:p>
    <w:p w:rsidR="00BE745B" w:rsidRPr="00BE745B" w:rsidRDefault="00BE745B" w:rsidP="00B716D3">
      <w:pPr>
        <w:rPr>
          <w:noProof/>
          <w:u w:val="single"/>
        </w:rPr>
      </w:pPr>
      <w:r w:rsidRPr="00BE745B">
        <w:rPr>
          <w:i/>
          <w:noProof/>
          <w:u w:val="single"/>
        </w:rPr>
        <w:t>CSV File</w:t>
      </w:r>
    </w:p>
    <w:p w:rsidR="00BE745B" w:rsidRDefault="00BE745B" w:rsidP="00B716D3">
      <w:pPr>
        <w:rPr>
          <w:noProof/>
        </w:rPr>
      </w:pPr>
    </w:p>
    <w:p w:rsidR="00BE745B" w:rsidRPr="00BE745B" w:rsidRDefault="00A11C01" w:rsidP="00B716D3">
      <w:pPr>
        <w:rPr>
          <w:noProof/>
        </w:rPr>
      </w:pPr>
      <w:r>
        <w:rPr>
          <w:noProof/>
        </w:rPr>
        <w:tab/>
      </w:r>
      <w:r w:rsidR="00CA5331">
        <w:t xml:space="preserve">A csv file is </w:t>
      </w:r>
      <w:r w:rsidR="00CA5331">
        <w:t>written</w:t>
      </w:r>
      <w:r w:rsidR="00CA5331">
        <w:t xml:space="preserve"> to the location set by </w:t>
      </w:r>
      <w:r w:rsidR="00CA5331">
        <w:t xml:space="preserve">the variable </w:t>
      </w:r>
      <w:proofErr w:type="spellStart"/>
      <w:r w:rsidR="00CA5331" w:rsidRPr="00CA5331">
        <w:rPr>
          <w:b/>
        </w:rPr>
        <w:t>OutputPathTemplate</w:t>
      </w:r>
      <w:proofErr w:type="spellEnd"/>
      <w:r w:rsidR="00202890">
        <w:t>.  Figure 1</w:t>
      </w:r>
      <w:r w:rsidR="00CA5331">
        <w:t xml:space="preserve"> displays an example csv file</w:t>
      </w:r>
      <w:r w:rsidR="00CA5331">
        <w:t xml:space="preserve"> opened in Open Office</w:t>
      </w:r>
      <w:r w:rsidR="00CA5331">
        <w:t xml:space="preserve">.  The top row </w:t>
      </w:r>
      <w:r w:rsidR="00CA5331">
        <w:t xml:space="preserve">is the header and </w:t>
      </w:r>
      <w:r w:rsidR="00CA5331">
        <w:t>labels what each column is.  Each run for a subject is summarized along the remaining rows.</w:t>
      </w:r>
      <w:r w:rsidR="00CA5331">
        <w:t xml:space="preserve"> Table 1 </w:t>
      </w:r>
      <w:r w:rsidR="00E539F3">
        <w:t>describes the meaning of each column</w:t>
      </w:r>
      <w:r w:rsidR="00CA5331">
        <w:t>.</w:t>
      </w:r>
    </w:p>
    <w:p w:rsidR="006C6CCD" w:rsidRDefault="006C6CCD" w:rsidP="00B716D3">
      <w:pPr>
        <w:rPr>
          <w:noProof/>
        </w:rPr>
      </w:pPr>
    </w:p>
    <w:p w:rsidR="00EB4704" w:rsidRDefault="00AF05D1" w:rsidP="00B2439E">
      <w:pPr>
        <w:rPr>
          <w:b/>
        </w:rPr>
      </w:pPr>
      <w:r>
        <w:rPr>
          <w:noProof/>
        </w:rPr>
        <w:drawing>
          <wp:inline distT="0" distB="0" distL="0" distR="0" wp14:anchorId="5820BC74" wp14:editId="7AEA95FD">
            <wp:extent cx="5486400" cy="1495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5D1" w:rsidRDefault="00202890" w:rsidP="00AF05D1">
      <w:pPr>
        <w:rPr>
          <w:b/>
        </w:rPr>
      </w:pPr>
      <w:proofErr w:type="gramStart"/>
      <w:r>
        <w:rPr>
          <w:b/>
        </w:rPr>
        <w:t>Figure 1</w:t>
      </w:r>
      <w:r w:rsidR="00AF05D1">
        <w:rPr>
          <w:b/>
        </w:rPr>
        <w:t>.</w:t>
      </w:r>
      <w:proofErr w:type="gramEnd"/>
      <w:r w:rsidR="00AF05D1">
        <w:rPr>
          <w:b/>
        </w:rPr>
        <w:t xml:space="preserve">  An example output csv from </w:t>
      </w:r>
      <w:proofErr w:type="spellStart"/>
      <w:r w:rsidR="00AF05D1">
        <w:rPr>
          <w:b/>
        </w:rPr>
        <w:t>CheckMotion</w:t>
      </w:r>
      <w:proofErr w:type="spellEnd"/>
      <w:r w:rsidR="00AF05D1">
        <w:rPr>
          <w:b/>
        </w:rPr>
        <w:t>.</w:t>
      </w:r>
    </w:p>
    <w:p w:rsidR="00E539F3" w:rsidRDefault="00E539F3" w:rsidP="00AF05D1">
      <w:pPr>
        <w:rPr>
          <w:b/>
        </w:rPr>
      </w:pPr>
    </w:p>
    <w:p w:rsidR="00470BAE" w:rsidRDefault="00470BAE" w:rsidP="00AF05D1">
      <w:r>
        <w:rPr>
          <w:i/>
          <w:u w:val="single"/>
        </w:rPr>
        <w:t>Censor Vector Mat File</w:t>
      </w:r>
    </w:p>
    <w:p w:rsidR="00470BAE" w:rsidRDefault="00470BAE" w:rsidP="00AF05D1"/>
    <w:p w:rsidR="009E24EF" w:rsidRDefault="00AF7E82" w:rsidP="00B2439E">
      <w:pPr>
        <w:rPr>
          <w:b/>
        </w:rPr>
      </w:pPr>
      <w:r>
        <w:tab/>
        <w:t xml:space="preserve">The variable </w:t>
      </w:r>
      <w:proofErr w:type="spellStart"/>
      <w:r>
        <w:rPr>
          <w:b/>
        </w:rPr>
        <w:t>OutputCensorVector</w:t>
      </w:r>
      <w:proofErr w:type="spellEnd"/>
      <w:r>
        <w:t xml:space="preserve"> sets the name and path for the output censor vectors. The output is a mat file containing a vector of 0’s and 1’s where 1 indicates a </w:t>
      </w:r>
      <w:r>
        <w:lastRenderedPageBreak/>
        <w:t xml:space="preserve">volume to censor. These mat files are primarily used as input to </w:t>
      </w:r>
      <w:proofErr w:type="spellStart"/>
      <w:r>
        <w:t>ConnTool</w:t>
      </w:r>
      <w:proofErr w:type="spellEnd"/>
      <w:r>
        <w:t xml:space="preserve">. If </w:t>
      </w:r>
      <w:proofErr w:type="spellStart"/>
      <w:r>
        <w:rPr>
          <w:b/>
        </w:rPr>
        <w:t>OutputCensorVector</w:t>
      </w:r>
      <w:proofErr w:type="spellEnd"/>
      <w:r>
        <w:rPr>
          <w:b/>
        </w:rPr>
        <w:t xml:space="preserve"> </w:t>
      </w:r>
      <w:r>
        <w:t>is left as an empty string (‘’), no mat files will be written to disk.</w:t>
      </w:r>
    </w:p>
    <w:p w:rsidR="004A352C" w:rsidRDefault="004A352C" w:rsidP="00B2439E">
      <w:pPr>
        <w:rPr>
          <w:b/>
        </w:rPr>
      </w:pPr>
    </w:p>
    <w:p w:rsidR="004A352C" w:rsidRPr="00AF05D1" w:rsidRDefault="004A352C" w:rsidP="004A352C">
      <w:pPr>
        <w:jc w:val="center"/>
      </w:pPr>
      <w:proofErr w:type="gramStart"/>
      <w:r>
        <w:rPr>
          <w:b/>
        </w:rPr>
        <w:t>Table 1.</w:t>
      </w:r>
      <w:proofErr w:type="gramEnd"/>
    </w:p>
    <w:p w:rsidR="004A352C" w:rsidRDefault="004A352C" w:rsidP="004A352C">
      <w:pPr>
        <w:jc w:val="center"/>
        <w:rPr>
          <w:b/>
        </w:rPr>
      </w:pPr>
      <w:r w:rsidRPr="004A352C">
        <w:drawing>
          <wp:inline distT="0" distB="0" distL="0" distR="0" wp14:anchorId="29B2F0F8" wp14:editId="50D31390">
            <wp:extent cx="5486400" cy="603762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3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82" w:rsidRDefault="00AF7E82" w:rsidP="004A352C">
      <w:pPr>
        <w:jc w:val="center"/>
        <w:rPr>
          <w:b/>
        </w:rPr>
      </w:pPr>
    </w:p>
    <w:p w:rsidR="00AF7E82" w:rsidRDefault="00AF7E82" w:rsidP="00AF7E82">
      <w:pPr>
        <w:rPr>
          <w:i/>
          <w:u w:val="single"/>
        </w:rPr>
      </w:pPr>
      <w:r>
        <w:rPr>
          <w:i/>
          <w:u w:val="single"/>
        </w:rPr>
        <w:t>Motion PDF Plot</w:t>
      </w:r>
    </w:p>
    <w:p w:rsidR="00AF7E82" w:rsidRDefault="00AF7E82" w:rsidP="00AF7E82">
      <w:pPr>
        <w:rPr>
          <w:i/>
          <w:u w:val="single"/>
        </w:rPr>
      </w:pPr>
    </w:p>
    <w:p w:rsidR="00AF7E82" w:rsidRDefault="00AF7E82" w:rsidP="00AF7E82">
      <w:r>
        <w:tab/>
      </w:r>
      <w:r w:rsidR="00B6355B">
        <w:t xml:space="preserve">The variables </w:t>
      </w:r>
      <w:proofErr w:type="spellStart"/>
      <w:r w:rsidR="00B6355B">
        <w:rPr>
          <w:b/>
        </w:rPr>
        <w:t>OutputPlotPath</w:t>
      </w:r>
      <w:proofErr w:type="spellEnd"/>
      <w:r w:rsidR="00B6355B">
        <w:t xml:space="preserve">, </w:t>
      </w:r>
      <w:proofErr w:type="spellStart"/>
      <w:r w:rsidR="00B6355B">
        <w:rPr>
          <w:b/>
        </w:rPr>
        <w:t>OutputPlotFile</w:t>
      </w:r>
      <w:proofErr w:type="spellEnd"/>
      <w:r w:rsidR="00B6355B">
        <w:t xml:space="preserve">, </w:t>
      </w:r>
      <w:proofErr w:type="spellStart"/>
      <w:r w:rsidR="00B6355B">
        <w:rPr>
          <w:b/>
        </w:rPr>
        <w:t>RealignType</w:t>
      </w:r>
      <w:proofErr w:type="spellEnd"/>
      <w:r w:rsidR="00B6355B">
        <w:t xml:space="preserve">, and </w:t>
      </w:r>
      <w:proofErr w:type="spellStart"/>
      <w:r w:rsidR="00B6355B">
        <w:rPr>
          <w:b/>
        </w:rPr>
        <w:t>PreRealignTemplate</w:t>
      </w:r>
      <w:proofErr w:type="spellEnd"/>
      <w:r w:rsidR="00B6355B">
        <w:t xml:space="preserve"> are used to create translational and rotational plots for each subject. Motion parameters are concatenated across runs for each subject in each plot. The plots will be saved as a pdf file in the folder specified by </w:t>
      </w:r>
      <w:proofErr w:type="spellStart"/>
      <w:r w:rsidR="00B6355B" w:rsidRPr="00B6355B">
        <w:t>OutputPlotPath</w:t>
      </w:r>
      <w:proofErr w:type="spellEnd"/>
      <w:r w:rsidR="00B6355B">
        <w:t xml:space="preserve"> and with file name </w:t>
      </w:r>
      <w:proofErr w:type="spellStart"/>
      <w:r w:rsidR="00B6355B" w:rsidRPr="00B6355B">
        <w:t>OutputPlotFile</w:t>
      </w:r>
      <w:proofErr w:type="spellEnd"/>
      <w:r w:rsidR="00B6355B">
        <w:t xml:space="preserve">. The output directory is not created and must exist before the </w:t>
      </w:r>
      <w:r w:rsidR="00B6355B">
        <w:lastRenderedPageBreak/>
        <w:t xml:space="preserve">motion template file is run. If </w:t>
      </w:r>
      <w:proofErr w:type="spellStart"/>
      <w:r w:rsidR="00B6355B">
        <w:t>OutputPlotPath</w:t>
      </w:r>
      <w:proofErr w:type="spellEnd"/>
      <w:r w:rsidR="00B6355B">
        <w:t xml:space="preserve"> is set to an empty string (‘’), no motion plots will be created. </w:t>
      </w:r>
      <w:proofErr w:type="spellStart"/>
      <w:r w:rsidR="00B6355B">
        <w:t>RealignType</w:t>
      </w:r>
      <w:proofErr w:type="spellEnd"/>
      <w:r w:rsidR="00B6355B">
        <w:t xml:space="preserve"> states what program (FSL or SPM) was used to realign the functional images. This is important, because SPM and FSL write the </w:t>
      </w:r>
      <w:r w:rsidR="002A389B">
        <w:t>rotational and translational</w:t>
      </w:r>
      <w:r w:rsidR="00B6355B">
        <w:t xml:space="preserve"> parameters in different orders. Also, functional images realigned in SPM require the motion between runs to be recalculat</w:t>
      </w:r>
      <w:r w:rsidR="002A389B">
        <w:t xml:space="preserve">ed, and the functional images input into SPM for realignment are needed to perform this calculation. SPM should have created mat files for the pre-realigned functional images and these also must still exist on disk in order to calculate the motion between runs. The </w:t>
      </w:r>
      <w:proofErr w:type="spellStart"/>
      <w:r w:rsidR="002A389B">
        <w:t>PreRealignTemplate</w:t>
      </w:r>
      <w:proofErr w:type="spellEnd"/>
      <w:r w:rsidR="002A389B">
        <w:t xml:space="preserve"> variable points to the pre-realigned functional images for each run; typically, this is the slice-timed</w:t>
      </w:r>
      <w:r w:rsidR="0015572A">
        <w:t xml:space="preserve"> corrected functional file. To output the best formatted pdf file, it is best not to run </w:t>
      </w:r>
      <w:proofErr w:type="spellStart"/>
      <w:r w:rsidR="0015572A">
        <w:t>Matlab</w:t>
      </w:r>
      <w:proofErr w:type="spellEnd"/>
      <w:r w:rsidR="0015572A">
        <w:t xml:space="preserve"> with the –</w:t>
      </w:r>
      <w:proofErr w:type="spellStart"/>
      <w:r w:rsidR="0015572A">
        <w:t>nodisplay</w:t>
      </w:r>
      <w:proofErr w:type="spellEnd"/>
      <w:r w:rsidR="0015572A">
        <w:t xml:space="preserve"> argument.</w:t>
      </w:r>
      <w:r w:rsidR="000362AE">
        <w:t xml:space="preserve"> </w:t>
      </w:r>
      <w:proofErr w:type="gramStart"/>
      <w:r w:rsidR="000362AE">
        <w:t>Figures 2 and 3 show example translational and rotational plots respectively.</w:t>
      </w:r>
      <w:proofErr w:type="gramEnd"/>
    </w:p>
    <w:p w:rsidR="000362AE" w:rsidRDefault="000362AE" w:rsidP="00AF7E82"/>
    <w:p w:rsidR="000362AE" w:rsidRDefault="000362AE" w:rsidP="00AF7E82">
      <w:r>
        <w:rPr>
          <w:noProof/>
        </w:rPr>
        <w:drawing>
          <wp:inline distT="0" distB="0" distL="0" distR="0">
            <wp:extent cx="5095875" cy="3190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Default="000362AE" w:rsidP="00AF7E82">
      <w:pPr>
        <w:rPr>
          <w:b/>
        </w:rPr>
      </w:pPr>
      <w:proofErr w:type="gramStart"/>
      <w:r>
        <w:rPr>
          <w:b/>
        </w:rPr>
        <w:t>Figure 3.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Example translational plot.</w:t>
      </w:r>
      <w:proofErr w:type="gramEnd"/>
    </w:p>
    <w:p w:rsidR="00D92133" w:rsidRDefault="00D92133" w:rsidP="00AF7E82">
      <w:pPr>
        <w:rPr>
          <w:b/>
        </w:rPr>
      </w:pPr>
    </w:p>
    <w:p w:rsidR="00B800D3" w:rsidRDefault="00F84493" w:rsidP="00AF7E82">
      <w:pPr>
        <w:rPr>
          <w:i/>
          <w:u w:val="single"/>
        </w:rPr>
      </w:pPr>
      <w:r>
        <w:rPr>
          <w:i/>
          <w:u w:val="single"/>
        </w:rPr>
        <w:t>fdOutliers.csv</w:t>
      </w:r>
    </w:p>
    <w:p w:rsidR="00B800D3" w:rsidRDefault="00B800D3" w:rsidP="00AF7E82"/>
    <w:p w:rsidR="00A73C18" w:rsidRPr="00B800D3" w:rsidRDefault="00A73C18" w:rsidP="00AF7E82">
      <w:r>
        <w:t xml:space="preserve">For each run a csv file named fdOutliers.csv is written in the same folder where the motion </w:t>
      </w:r>
      <w:r w:rsidR="00305A62">
        <w:t xml:space="preserve">parameters are located.  </w:t>
      </w:r>
      <w:r w:rsidR="00C90BD4">
        <w:t xml:space="preserve">Each row represents one volume in the run. Each column is a </w:t>
      </w:r>
      <w:proofErr w:type="spellStart"/>
      <w:r w:rsidR="00C90BD4">
        <w:t>regressor</w:t>
      </w:r>
      <w:proofErr w:type="spellEnd"/>
      <w:r w:rsidR="00C90BD4">
        <w:t xml:space="preserve"> to censor one volume with frame displacement exceeding the </w:t>
      </w:r>
      <w:proofErr w:type="spellStart"/>
      <w:r w:rsidR="00C90BD4">
        <w:t>FDcriteria</w:t>
      </w:r>
      <w:proofErr w:type="spellEnd"/>
      <w:r w:rsidR="00C90BD4">
        <w:t xml:space="preserve">. There is the same number of columns as there are volumes which have frame displacement values that exceed the </w:t>
      </w:r>
      <w:proofErr w:type="spellStart"/>
      <w:r w:rsidR="00C90BD4">
        <w:t>FDcriteria</w:t>
      </w:r>
      <w:proofErr w:type="spellEnd"/>
      <w:r w:rsidR="00C90BD4">
        <w:t xml:space="preserve">. The </w:t>
      </w:r>
      <w:proofErr w:type="spellStart"/>
      <w:proofErr w:type="gramStart"/>
      <w:r w:rsidR="00C90BD4">
        <w:t>regressors</w:t>
      </w:r>
      <w:proofErr w:type="spellEnd"/>
      <w:proofErr w:type="gramEnd"/>
      <w:r w:rsidR="00C90BD4">
        <w:t xml:space="preserve"> equal 0 at all rows except at a volume where its frame displacement value is greater than the </w:t>
      </w:r>
      <w:proofErr w:type="spellStart"/>
      <w:r w:rsidR="00C90BD4">
        <w:t>FDcriteria</w:t>
      </w:r>
      <w:proofErr w:type="spellEnd"/>
      <w:r w:rsidR="00C90BD4">
        <w:t xml:space="preserve"> value. These csv files are primarily intended to be used in the first level template file to censor volumes high motion.</w:t>
      </w:r>
    </w:p>
    <w:p w:rsidR="000362AE" w:rsidRDefault="000362AE" w:rsidP="00AF7E82">
      <w:r>
        <w:rPr>
          <w:noProof/>
        </w:rPr>
        <w:lastRenderedPageBreak/>
        <w:drawing>
          <wp:inline distT="0" distB="0" distL="0" distR="0" wp14:anchorId="1DCF19FE" wp14:editId="2D24EB55">
            <wp:extent cx="50006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D92133" w:rsidRDefault="000362AE" w:rsidP="00AF7E82">
      <w:proofErr w:type="gramStart"/>
      <w:r>
        <w:rPr>
          <w:b/>
        </w:rPr>
        <w:t>Figure 4.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Example rotational plot.</w:t>
      </w:r>
      <w:proofErr w:type="gramEnd"/>
    </w:p>
    <w:p w:rsidR="00F7509B" w:rsidRDefault="00F7509B" w:rsidP="00B2439E"/>
    <w:p w:rsidR="00F7509B" w:rsidRDefault="00F7509B" w:rsidP="00B2439E">
      <w:pPr>
        <w:rPr>
          <w:b/>
          <w:u w:val="single"/>
        </w:rPr>
      </w:pPr>
      <w:r>
        <w:rPr>
          <w:b/>
          <w:u w:val="single"/>
        </w:rPr>
        <w:t>Additional Help</w:t>
      </w:r>
    </w:p>
    <w:p w:rsidR="00F7509B" w:rsidRDefault="00F7509B" w:rsidP="00B2439E"/>
    <w:p w:rsidR="002A389B" w:rsidRDefault="00F7509B" w:rsidP="00B2439E">
      <w:r>
        <w:t xml:space="preserve">If additional help is required email </w:t>
      </w:r>
      <w:hyperlink r:id="rId10" w:history="1">
        <w:r w:rsidRPr="00ED74E7">
          <w:rPr>
            <w:rStyle w:val="Hyperlink"/>
          </w:rPr>
          <w:t>methodscore@umich.edu</w:t>
        </w:r>
      </w:hyperlink>
    </w:p>
    <w:p w:rsidR="00C57ACE" w:rsidRDefault="00C57ACE" w:rsidP="00B2439E"/>
    <w:p w:rsidR="00C57ACE" w:rsidRDefault="00C57ACE" w:rsidP="00B2439E">
      <w:r>
        <w:t xml:space="preserve">The following link demonstrates how to use the </w:t>
      </w:r>
      <w:proofErr w:type="spellStart"/>
      <w:r>
        <w:t>CheckMotion</w:t>
      </w:r>
      <w:proofErr w:type="spellEnd"/>
      <w:r>
        <w:t xml:space="preserve"> toolbox:</w:t>
      </w:r>
    </w:p>
    <w:p w:rsidR="00C57ACE" w:rsidRPr="00F7509B" w:rsidRDefault="00C57ACE" w:rsidP="00B2439E">
      <w:r>
        <w:t>http://youtu.be/</w:t>
      </w:r>
      <w:bookmarkStart w:id="0" w:name="_GoBack"/>
      <w:bookmarkEnd w:id="0"/>
      <w:r>
        <w:t>UXsq1T1L7IQ</w:t>
      </w:r>
    </w:p>
    <w:sectPr w:rsidR="00C57ACE" w:rsidRPr="00F750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735"/>
    <w:rsid w:val="00011C25"/>
    <w:rsid w:val="000362AE"/>
    <w:rsid w:val="000501AF"/>
    <w:rsid w:val="0005503E"/>
    <w:rsid w:val="0015572A"/>
    <w:rsid w:val="001B3E6E"/>
    <w:rsid w:val="00202890"/>
    <w:rsid w:val="002258AC"/>
    <w:rsid w:val="002A389B"/>
    <w:rsid w:val="00305A62"/>
    <w:rsid w:val="0031159F"/>
    <w:rsid w:val="00365735"/>
    <w:rsid w:val="003D051E"/>
    <w:rsid w:val="00440B36"/>
    <w:rsid w:val="00470BAE"/>
    <w:rsid w:val="004A352C"/>
    <w:rsid w:val="004B679B"/>
    <w:rsid w:val="005E0AAB"/>
    <w:rsid w:val="005F205E"/>
    <w:rsid w:val="006C6CCD"/>
    <w:rsid w:val="007915DD"/>
    <w:rsid w:val="00804EE1"/>
    <w:rsid w:val="00837817"/>
    <w:rsid w:val="00955900"/>
    <w:rsid w:val="009716EE"/>
    <w:rsid w:val="009E1A81"/>
    <w:rsid w:val="009E24EF"/>
    <w:rsid w:val="00A11C01"/>
    <w:rsid w:val="00A73C18"/>
    <w:rsid w:val="00AC296D"/>
    <w:rsid w:val="00AD7D60"/>
    <w:rsid w:val="00AF05D1"/>
    <w:rsid w:val="00AF7E82"/>
    <w:rsid w:val="00B2439E"/>
    <w:rsid w:val="00B301B5"/>
    <w:rsid w:val="00B6355B"/>
    <w:rsid w:val="00B67217"/>
    <w:rsid w:val="00B716D3"/>
    <w:rsid w:val="00B800D3"/>
    <w:rsid w:val="00BE515F"/>
    <w:rsid w:val="00BE745B"/>
    <w:rsid w:val="00C23B0F"/>
    <w:rsid w:val="00C57ACE"/>
    <w:rsid w:val="00C90BD4"/>
    <w:rsid w:val="00CA5331"/>
    <w:rsid w:val="00D81C1D"/>
    <w:rsid w:val="00D92133"/>
    <w:rsid w:val="00E51AE5"/>
    <w:rsid w:val="00E539F3"/>
    <w:rsid w:val="00E93ECA"/>
    <w:rsid w:val="00EB4704"/>
    <w:rsid w:val="00F7509B"/>
    <w:rsid w:val="00F84493"/>
    <w:rsid w:val="00FC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509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663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1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1A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7509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66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ethodscore@umich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B78334-5B3A-4477-BC4B-D50B51AB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 Hospital and Health Systems</Company>
  <LinksUpToDate>false</LinksUpToDate>
  <CharactersWithSpaces>6534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Heffernan, Joseph</dc:creator>
  <cp:keywords/>
  <dc:description/>
  <cp:lastModifiedBy>Heffernan, Joseph</cp:lastModifiedBy>
  <cp:revision>31</cp:revision>
  <dcterms:created xsi:type="dcterms:W3CDTF">2013-03-05T15:33:00Z</dcterms:created>
  <dcterms:modified xsi:type="dcterms:W3CDTF">2014-08-26T17:20:00Z</dcterms:modified>
</cp:coreProperties>
</file>