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B2570" w:rsidRPr="00CB2570" w:rsidRDefault="000D68D0" w:rsidP="00CB2570">
      <w:pPr>
        <w:pStyle w:val="Titre"/>
        <w:jc w:val="center"/>
        <w:rPr>
          <w:rStyle w:val="Sous-titreCar"/>
          <w:rFonts w:asciiTheme="minorHAnsi" w:hAnsiTheme="minorHAnsi" w:cstheme="minorHAnsi"/>
          <w:sz w:val="21"/>
          <w:szCs w:val="21"/>
          <w:lang w:val="en-US"/>
        </w:rPr>
      </w:pPr>
      <w:r w:rsidRPr="00CB2570">
        <w:rPr>
          <w:rFonts w:asciiTheme="minorHAnsi" w:hAnsiTheme="minorHAnsi" w:cstheme="minorHAnsi"/>
          <w:sz w:val="44"/>
          <w:szCs w:val="44"/>
          <w:lang w:val="en-US"/>
        </w:rPr>
        <w:t xml:space="preserve">DDN-RIKEN Collaboration: </w:t>
      </w:r>
      <w:r w:rsidR="00CB2570" w:rsidRPr="00CB2570">
        <w:rPr>
          <w:rFonts w:asciiTheme="minorHAnsi" w:hAnsiTheme="minorHAnsi" w:cstheme="minorHAnsi"/>
          <w:sz w:val="44"/>
          <w:szCs w:val="44"/>
          <w:lang w:val="en-US"/>
        </w:rPr>
        <w:t xml:space="preserve">the </w:t>
      </w:r>
      <w:r w:rsidRPr="00CB2570">
        <w:rPr>
          <w:rFonts w:asciiTheme="minorHAnsi" w:hAnsiTheme="minorHAnsi" w:cstheme="minorHAnsi"/>
          <w:sz w:val="44"/>
          <w:szCs w:val="44"/>
          <w:lang w:val="en-US"/>
        </w:rPr>
        <w:t>Unified Multimodal Retriever Service</w:t>
      </w:r>
      <w:r w:rsidRPr="00CB2570">
        <w:rPr>
          <w:rStyle w:val="Sous-titreCar"/>
          <w:rFonts w:asciiTheme="minorHAnsi" w:hAnsiTheme="minorHAnsi" w:cstheme="minorHAnsi"/>
          <w:sz w:val="21"/>
          <w:szCs w:val="21"/>
          <w:lang w:val="en-US"/>
        </w:rPr>
        <w:br/>
        <w:t>Emmanuel Jeannot May 29, 2025</w:t>
      </w:r>
    </w:p>
    <w:p w:rsidR="00CB2570" w:rsidRPr="00CB2570" w:rsidRDefault="00CB2570" w:rsidP="00CB2570">
      <w:pPr>
        <w:rPr>
          <w:sz w:val="22"/>
          <w:szCs w:val="22"/>
          <w:lang w:val="en-US"/>
        </w:rPr>
      </w:pPr>
    </w:p>
    <w:p w:rsidR="000D68D0" w:rsidRPr="00CB2570" w:rsidRDefault="00CB2570" w:rsidP="00CB2570">
      <w:pPr>
        <w:pStyle w:val="Titre2"/>
        <w:jc w:val="center"/>
        <w:rPr>
          <w:rFonts w:cstheme="majorHAnsi"/>
          <w:sz w:val="24"/>
          <w:szCs w:val="24"/>
          <w:lang w:val="en-US"/>
        </w:rPr>
      </w:pPr>
      <w:r w:rsidRPr="00CB2570">
        <w:rPr>
          <w:rFonts w:cstheme="majorHAnsi"/>
          <w:sz w:val="24"/>
          <w:szCs w:val="24"/>
          <w:lang w:val="en-US"/>
        </w:rPr>
        <w:t>Executive summary</w:t>
      </w:r>
    </w:p>
    <w:p w:rsidR="00CB2570" w:rsidRPr="00CB2570" w:rsidRDefault="00CB2570" w:rsidP="00CB2570">
      <w:pPr>
        <w:jc w:val="both"/>
        <w:rPr>
          <w:rFonts w:cstheme="minorHAnsi"/>
          <w:sz w:val="22"/>
          <w:szCs w:val="22"/>
          <w:lang w:val="en-US"/>
        </w:rPr>
      </w:pPr>
      <w:r w:rsidRPr="00CB2570">
        <w:rPr>
          <w:rFonts w:cstheme="minorHAnsi"/>
          <w:sz w:val="22"/>
          <w:szCs w:val="22"/>
          <w:lang w:val="en-US"/>
        </w:rPr>
        <w:t>Access to the </w:t>
      </w:r>
      <w:proofErr w:type="spellStart"/>
      <w:r w:rsidRPr="00CB2570">
        <w:rPr>
          <w:rFonts w:cstheme="minorHAnsi"/>
          <w:b/>
          <w:bCs/>
          <w:sz w:val="22"/>
          <w:szCs w:val="22"/>
          <w:lang w:val="en-US"/>
        </w:rPr>
        <w:t>RedSQL</w:t>
      </w:r>
      <w:proofErr w:type="spellEnd"/>
      <w:r w:rsidRPr="00CB2570">
        <w:rPr>
          <w:rFonts w:cstheme="minorHAnsi"/>
          <w:b/>
          <w:bCs/>
          <w:sz w:val="22"/>
          <w:szCs w:val="22"/>
          <w:lang w:val="en-US"/>
        </w:rPr>
        <w:t xml:space="preserve"> Foreign Data Wrapper (FDW)</w:t>
      </w:r>
      <w:r w:rsidRPr="00CB2570">
        <w:rPr>
          <w:rFonts w:cstheme="minorHAnsi"/>
          <w:sz w:val="22"/>
          <w:szCs w:val="22"/>
          <w:lang w:val="en-US"/>
        </w:rPr>
        <w:t xml:space="preserve"> is essential to fully realize the capabilities of the UMRS system being </w:t>
      </w:r>
      <w:r w:rsidRPr="00CB2570">
        <w:rPr>
          <w:rFonts w:cstheme="minorHAnsi"/>
          <w:sz w:val="22"/>
          <w:szCs w:val="22"/>
          <w:lang w:val="en-US"/>
        </w:rPr>
        <w:t>developed</w:t>
      </w:r>
      <w:r w:rsidRPr="00CB2570">
        <w:rPr>
          <w:rFonts w:cstheme="minorHAnsi"/>
          <w:sz w:val="22"/>
          <w:szCs w:val="22"/>
          <w:lang w:val="en-US"/>
        </w:rPr>
        <w:t xml:space="preserve"> at RIKEN. This integration is critical for enabling advanced metadata operations, improving performance, and supporting efficient, large-scale processing of multimodal scientific data on </w:t>
      </w:r>
      <w:proofErr w:type="spellStart"/>
      <w:r w:rsidRPr="00CB2570">
        <w:rPr>
          <w:rFonts w:cstheme="minorHAnsi"/>
          <w:sz w:val="22"/>
          <w:szCs w:val="22"/>
          <w:lang w:val="en-US"/>
        </w:rPr>
        <w:t>Infinia</w:t>
      </w:r>
      <w:proofErr w:type="spellEnd"/>
      <w:r w:rsidRPr="00CB2570">
        <w:rPr>
          <w:rFonts w:cstheme="minorHAnsi"/>
          <w:sz w:val="22"/>
          <w:szCs w:val="22"/>
          <w:lang w:val="en-US"/>
        </w:rPr>
        <w:t>.</w:t>
      </w:r>
    </w:p>
    <w:p w:rsidR="00CB2570" w:rsidRPr="00CB2570" w:rsidRDefault="00CB2570" w:rsidP="00CB2570">
      <w:pPr>
        <w:jc w:val="both"/>
        <w:rPr>
          <w:rFonts w:cstheme="minorHAnsi"/>
          <w:sz w:val="22"/>
          <w:szCs w:val="22"/>
          <w:lang w:val="en-US"/>
        </w:rPr>
      </w:pPr>
      <w:r w:rsidRPr="00CB2570">
        <w:rPr>
          <w:rFonts w:cstheme="minorHAnsi"/>
          <w:sz w:val="22"/>
          <w:szCs w:val="22"/>
          <w:lang w:val="en-US"/>
        </w:rPr>
        <w:t>The system will be used in a </w:t>
      </w:r>
      <w:r w:rsidRPr="00CB2570">
        <w:rPr>
          <w:rFonts w:cstheme="minorHAnsi"/>
          <w:b/>
          <w:bCs/>
          <w:sz w:val="22"/>
          <w:szCs w:val="22"/>
          <w:lang w:val="en-US"/>
        </w:rPr>
        <w:t>real-world production environment</w:t>
      </w:r>
      <w:r w:rsidRPr="00CB2570">
        <w:rPr>
          <w:rFonts w:cstheme="minorHAnsi"/>
          <w:sz w:val="22"/>
          <w:szCs w:val="22"/>
          <w:lang w:val="en-US"/>
        </w:rPr>
        <w:t>, providing DDN with </w:t>
      </w:r>
      <w:r w:rsidRPr="00CB2570">
        <w:rPr>
          <w:rFonts w:cstheme="minorHAnsi"/>
          <w:b/>
          <w:bCs/>
          <w:sz w:val="22"/>
          <w:szCs w:val="22"/>
          <w:lang w:val="en-US"/>
        </w:rPr>
        <w:t>direct technical feedback</w:t>
      </w:r>
      <w:r w:rsidRPr="00CB2570">
        <w:rPr>
          <w:rFonts w:cstheme="minorHAnsi"/>
          <w:sz w:val="22"/>
          <w:szCs w:val="22"/>
          <w:lang w:val="en-US"/>
        </w:rPr>
        <w:t xml:space="preserve"> on </w:t>
      </w:r>
      <w:proofErr w:type="spellStart"/>
      <w:r w:rsidRPr="00CB2570">
        <w:rPr>
          <w:rFonts w:cstheme="minorHAnsi"/>
          <w:sz w:val="22"/>
          <w:szCs w:val="22"/>
          <w:lang w:val="en-US"/>
        </w:rPr>
        <w:t>RedSQL’s</w:t>
      </w:r>
      <w:proofErr w:type="spellEnd"/>
      <w:r w:rsidRPr="00CB2570">
        <w:rPr>
          <w:rFonts w:cstheme="minorHAnsi"/>
          <w:sz w:val="22"/>
          <w:szCs w:val="22"/>
          <w:lang w:val="en-US"/>
        </w:rPr>
        <w:t xml:space="preserve"> capabilities and limitations. This feedback loop </w:t>
      </w:r>
      <w:r w:rsidRPr="00CB2570">
        <w:rPr>
          <w:rFonts w:cstheme="minorHAnsi"/>
          <w:sz w:val="22"/>
          <w:szCs w:val="22"/>
          <w:lang w:val="en-US"/>
        </w:rPr>
        <w:t xml:space="preserve">could </w:t>
      </w:r>
      <w:r w:rsidRPr="00CB2570">
        <w:rPr>
          <w:rFonts w:cstheme="minorHAnsi"/>
          <w:sz w:val="22"/>
          <w:szCs w:val="22"/>
          <w:lang w:val="en-US"/>
        </w:rPr>
        <w:t xml:space="preserve">help guide future development and optimization of </w:t>
      </w:r>
      <w:proofErr w:type="spellStart"/>
      <w:r w:rsidRPr="00CB2570">
        <w:rPr>
          <w:rFonts w:cstheme="minorHAnsi"/>
          <w:sz w:val="22"/>
          <w:szCs w:val="22"/>
          <w:lang w:val="en-US"/>
        </w:rPr>
        <w:t>Infinia</w:t>
      </w:r>
      <w:proofErr w:type="spellEnd"/>
      <w:r w:rsidRPr="00CB2570">
        <w:rPr>
          <w:rFonts w:cstheme="minorHAnsi"/>
          <w:sz w:val="22"/>
          <w:szCs w:val="22"/>
          <w:lang w:val="en-US"/>
        </w:rPr>
        <w:t xml:space="preserve"> for AI-driven scientific workloads.</w:t>
      </w:r>
    </w:p>
    <w:p w:rsidR="00CB2570" w:rsidRPr="00CB2570" w:rsidRDefault="00CB2570" w:rsidP="00CB2570">
      <w:pPr>
        <w:pStyle w:val="Titre1"/>
        <w:rPr>
          <w:sz w:val="28"/>
          <w:szCs w:val="28"/>
          <w:lang w:val="en-US"/>
        </w:rPr>
      </w:pPr>
      <w:r w:rsidRPr="00CB2570">
        <w:rPr>
          <w:sz w:val="28"/>
          <w:szCs w:val="28"/>
          <w:lang w:val="en-US"/>
        </w:rPr>
        <w:t>Introduction</w:t>
      </w:r>
    </w:p>
    <w:p w:rsidR="00CB2570" w:rsidRPr="00CB2570" w:rsidRDefault="00CB2570" w:rsidP="00CB2570">
      <w:pPr>
        <w:jc w:val="both"/>
        <w:rPr>
          <w:rFonts w:cstheme="minorHAnsi"/>
          <w:sz w:val="22"/>
          <w:szCs w:val="22"/>
          <w:lang w:val="en-US"/>
        </w:rPr>
      </w:pPr>
      <w:r w:rsidRPr="00CB2570">
        <w:rPr>
          <w:rFonts w:cstheme="minorHAnsi"/>
          <w:sz w:val="22"/>
          <w:szCs w:val="22"/>
          <w:lang w:val="en-US"/>
        </w:rPr>
        <w:t>Since August 2024, Emmanuel has been working with DDN Japan and has been assigned to RIKEN, a leading scientific research institution in Japan. His role focuses on data management in the context of AI for scientific research.</w:t>
      </w:r>
    </w:p>
    <w:p w:rsidR="00CB2570" w:rsidRPr="00CB2570" w:rsidRDefault="00CB2570" w:rsidP="00CB2570">
      <w:pPr>
        <w:jc w:val="both"/>
        <w:rPr>
          <w:rFonts w:cstheme="minorHAnsi"/>
          <w:sz w:val="22"/>
          <w:szCs w:val="22"/>
          <w:lang w:val="en-US"/>
        </w:rPr>
      </w:pPr>
      <w:r w:rsidRPr="00CB2570">
        <w:rPr>
          <w:rFonts w:cstheme="minorHAnsi"/>
          <w:sz w:val="22"/>
          <w:szCs w:val="22"/>
          <w:lang w:val="en-US"/>
        </w:rPr>
        <w:t>One of the key projects he is involved in is the </w:t>
      </w:r>
      <w:r w:rsidRPr="00CB2570">
        <w:rPr>
          <w:rFonts w:cstheme="minorHAnsi"/>
          <w:b/>
          <w:bCs/>
          <w:sz w:val="22"/>
          <w:szCs w:val="22"/>
          <w:lang w:val="en-US"/>
        </w:rPr>
        <w:t>Unified Multimodal Retriever Service (UMRS)</w:t>
      </w:r>
      <w:r w:rsidRPr="00CB2570">
        <w:rPr>
          <w:rFonts w:cstheme="minorHAnsi"/>
          <w:sz w:val="22"/>
          <w:szCs w:val="22"/>
          <w:lang w:val="en-US"/>
        </w:rPr>
        <w:t xml:space="preserve">. This initiative aims to provide a high-level data management service over </w:t>
      </w:r>
      <w:proofErr w:type="spellStart"/>
      <w:r w:rsidRPr="00CB2570">
        <w:rPr>
          <w:rFonts w:cstheme="minorHAnsi"/>
          <w:sz w:val="22"/>
          <w:szCs w:val="22"/>
          <w:lang w:val="en-US"/>
        </w:rPr>
        <w:t>Infinia</w:t>
      </w:r>
      <w:proofErr w:type="spellEnd"/>
      <w:r w:rsidRPr="00CB2570">
        <w:rPr>
          <w:rFonts w:cstheme="minorHAnsi"/>
          <w:sz w:val="22"/>
          <w:szCs w:val="22"/>
          <w:lang w:val="en-US"/>
        </w:rPr>
        <w:t>—or any S3-compatible server—to support inference on multimodal datasets. The service is currently being deployed at RIKEN for a project that handles large-scale multimodal data generated by the SPring-8 synchrotron facility.</w:t>
      </w:r>
    </w:p>
    <w:p w:rsidR="00CB2570" w:rsidRPr="00CB2570" w:rsidRDefault="00CB2570" w:rsidP="00CB2570">
      <w:pPr>
        <w:jc w:val="both"/>
        <w:rPr>
          <w:rFonts w:cstheme="minorHAnsi"/>
          <w:sz w:val="22"/>
          <w:szCs w:val="22"/>
          <w:lang w:val="en-US"/>
        </w:rPr>
      </w:pPr>
      <w:r w:rsidRPr="00CB2570">
        <w:rPr>
          <w:rFonts w:cstheme="minorHAnsi"/>
          <w:sz w:val="22"/>
          <w:szCs w:val="22"/>
          <w:lang w:val="en-US"/>
        </w:rPr>
        <w:t>In this context, Emmanuel Jeannot is exploring how to leverage the low-level features of </w:t>
      </w:r>
      <w:proofErr w:type="spellStart"/>
      <w:r w:rsidRPr="00CB2570">
        <w:rPr>
          <w:rFonts w:cstheme="minorHAnsi"/>
          <w:b/>
          <w:bCs/>
          <w:sz w:val="22"/>
          <w:szCs w:val="22"/>
          <w:lang w:val="en-US"/>
        </w:rPr>
        <w:t>Infinia</w:t>
      </w:r>
      <w:proofErr w:type="spellEnd"/>
      <w:r w:rsidRPr="00CB2570">
        <w:rPr>
          <w:rFonts w:cstheme="minorHAnsi"/>
          <w:b/>
          <w:bCs/>
          <w:sz w:val="22"/>
          <w:szCs w:val="22"/>
          <w:lang w:val="en-US"/>
        </w:rPr>
        <w:t xml:space="preserve"> </w:t>
      </w:r>
      <w:proofErr w:type="spellStart"/>
      <w:r w:rsidRPr="00CB2570">
        <w:rPr>
          <w:rFonts w:cstheme="minorHAnsi"/>
          <w:b/>
          <w:bCs/>
          <w:sz w:val="22"/>
          <w:szCs w:val="22"/>
          <w:lang w:val="en-US"/>
        </w:rPr>
        <w:t>RedSQL</w:t>
      </w:r>
      <w:proofErr w:type="spellEnd"/>
      <w:r w:rsidRPr="00CB2570">
        <w:rPr>
          <w:rFonts w:cstheme="minorHAnsi"/>
          <w:sz w:val="22"/>
          <w:szCs w:val="22"/>
          <w:lang w:val="en-US"/>
        </w:rPr>
        <w:t> to enhance metadata management, accelerate computation, streamline workflow control, and improve the retrieval of results.</w:t>
      </w:r>
    </w:p>
    <w:p w:rsidR="00CB2570" w:rsidRPr="00CB2570" w:rsidRDefault="00CB2570" w:rsidP="00CB2570">
      <w:pPr>
        <w:pStyle w:val="Titre1"/>
        <w:jc w:val="both"/>
        <w:rPr>
          <w:rFonts w:cstheme="majorHAnsi"/>
          <w:sz w:val="28"/>
          <w:szCs w:val="28"/>
          <w:lang w:val="en-US"/>
        </w:rPr>
      </w:pPr>
      <w:r w:rsidRPr="00CB2570">
        <w:rPr>
          <w:rFonts w:cstheme="majorHAnsi"/>
          <w:sz w:val="28"/>
          <w:szCs w:val="28"/>
          <w:lang w:val="en-US"/>
        </w:rPr>
        <w:t>RIKEN and the collaboration with DDN</w:t>
      </w:r>
    </w:p>
    <w:p w:rsidR="00CB2570" w:rsidRPr="00CB2570" w:rsidRDefault="00CB2570" w:rsidP="00CB2570">
      <w:pPr>
        <w:jc w:val="both"/>
        <w:rPr>
          <w:rFonts w:cstheme="minorHAnsi"/>
          <w:sz w:val="22"/>
          <w:szCs w:val="22"/>
          <w:lang w:val="en-US"/>
        </w:rPr>
      </w:pPr>
      <w:r w:rsidRPr="00CB2570">
        <w:rPr>
          <w:rFonts w:cstheme="minorHAnsi"/>
          <w:sz w:val="22"/>
          <w:szCs w:val="22"/>
          <w:lang w:val="en-US"/>
        </w:rPr>
        <w:t>RIKEN is Japan’s premier public research institute, conducting cutting-edge research across a wide range of scientific disciplines, with a strong emphasis on computational science. Its Kobe</w:t>
      </w:r>
      <w:r w:rsidRPr="00CB2570">
        <w:rPr>
          <w:rFonts w:cstheme="minorHAnsi"/>
          <w:sz w:val="22"/>
          <w:szCs w:val="22"/>
          <w:lang w:val="en-US"/>
        </w:rPr>
        <w:t xml:space="preserve"> site</w:t>
      </w:r>
      <w:r w:rsidRPr="00CB2570">
        <w:rPr>
          <w:rFonts w:cstheme="minorHAnsi"/>
          <w:sz w:val="22"/>
          <w:szCs w:val="22"/>
          <w:lang w:val="en-US"/>
        </w:rPr>
        <w:t xml:space="preserve"> is home to </w:t>
      </w:r>
      <w:proofErr w:type="spellStart"/>
      <w:r w:rsidRPr="00CB2570">
        <w:rPr>
          <w:rFonts w:cstheme="minorHAnsi"/>
          <w:b/>
          <w:bCs/>
          <w:sz w:val="22"/>
          <w:szCs w:val="22"/>
          <w:lang w:val="en-US"/>
        </w:rPr>
        <w:t>Fugaku</w:t>
      </w:r>
      <w:proofErr w:type="spellEnd"/>
      <w:r w:rsidRPr="00CB2570">
        <w:rPr>
          <w:rFonts w:cstheme="minorHAnsi"/>
          <w:sz w:val="22"/>
          <w:szCs w:val="22"/>
          <w:lang w:val="en-US"/>
        </w:rPr>
        <w:t xml:space="preserve">, which held the title of the world’s most powerful supercomputer from June 2020 to June 2022 and remains among the global top ten. </w:t>
      </w:r>
      <w:proofErr w:type="spellStart"/>
      <w:r w:rsidRPr="00CB2570">
        <w:rPr>
          <w:rFonts w:cstheme="minorHAnsi"/>
          <w:sz w:val="22"/>
          <w:szCs w:val="22"/>
          <w:lang w:val="en-US"/>
        </w:rPr>
        <w:t>Fugaku</w:t>
      </w:r>
      <w:proofErr w:type="spellEnd"/>
      <w:r w:rsidRPr="00CB2570">
        <w:rPr>
          <w:rFonts w:cstheme="minorHAnsi"/>
          <w:sz w:val="22"/>
          <w:szCs w:val="22"/>
          <w:lang w:val="en-US"/>
        </w:rPr>
        <w:t xml:space="preserve"> is supported by DDN storage systems, and RIKEN is currently planning its successor, </w:t>
      </w:r>
      <w:proofErr w:type="spellStart"/>
      <w:r w:rsidRPr="00CB2570">
        <w:rPr>
          <w:rFonts w:cstheme="minorHAnsi"/>
          <w:b/>
          <w:bCs/>
          <w:sz w:val="22"/>
          <w:szCs w:val="22"/>
          <w:lang w:val="en-US"/>
        </w:rPr>
        <w:t>Fugaku</w:t>
      </w:r>
      <w:proofErr w:type="spellEnd"/>
      <w:r w:rsidRPr="00CB2570">
        <w:rPr>
          <w:rFonts w:cstheme="minorHAnsi"/>
          <w:b/>
          <w:bCs/>
          <w:sz w:val="22"/>
          <w:szCs w:val="22"/>
          <w:lang w:val="en-US"/>
        </w:rPr>
        <w:t>-Next</w:t>
      </w:r>
      <w:r w:rsidRPr="00CB2570">
        <w:rPr>
          <w:rFonts w:cstheme="minorHAnsi"/>
          <w:sz w:val="22"/>
          <w:szCs w:val="22"/>
          <w:lang w:val="en-US"/>
        </w:rPr>
        <w:t>, expected to launch by the end of this decade. As part of its ongoing innovation efforts, RIKEN recently acquired an </w:t>
      </w:r>
      <w:proofErr w:type="spellStart"/>
      <w:r w:rsidRPr="00CB2570">
        <w:rPr>
          <w:rFonts w:cstheme="minorHAnsi"/>
          <w:b/>
          <w:bCs/>
          <w:sz w:val="22"/>
          <w:szCs w:val="22"/>
          <w:lang w:val="en-US"/>
        </w:rPr>
        <w:t>Infinia</w:t>
      </w:r>
      <w:proofErr w:type="spellEnd"/>
      <w:r w:rsidRPr="00CB2570">
        <w:rPr>
          <w:rFonts w:cstheme="minorHAnsi"/>
          <w:sz w:val="22"/>
          <w:szCs w:val="22"/>
          <w:lang w:val="en-US"/>
        </w:rPr>
        <w:t> system for proof-of-concept testing, further strengthening its collaboration with DDN Japan—of which it is a major client.</w:t>
      </w:r>
    </w:p>
    <w:p w:rsidR="00CB2570" w:rsidRPr="00CB2570" w:rsidRDefault="00CB2570" w:rsidP="00CB2570">
      <w:pPr>
        <w:jc w:val="both"/>
        <w:rPr>
          <w:rFonts w:cstheme="minorHAnsi"/>
          <w:sz w:val="22"/>
          <w:szCs w:val="22"/>
          <w:lang w:val="en-US"/>
        </w:rPr>
      </w:pPr>
      <w:r w:rsidRPr="00CB2570">
        <w:rPr>
          <w:rFonts w:cstheme="minorHAnsi"/>
          <w:sz w:val="22"/>
          <w:szCs w:val="22"/>
          <w:lang w:val="en-US"/>
        </w:rPr>
        <w:t>Since August 202</w:t>
      </w:r>
      <w:r w:rsidR="00026E66">
        <w:rPr>
          <w:rFonts w:cstheme="minorHAnsi"/>
          <w:sz w:val="22"/>
          <w:szCs w:val="22"/>
          <w:lang w:val="en-US"/>
        </w:rPr>
        <w:t>4</w:t>
      </w:r>
      <w:r w:rsidRPr="00CB2570">
        <w:rPr>
          <w:rFonts w:cstheme="minorHAnsi"/>
          <w:sz w:val="22"/>
          <w:szCs w:val="22"/>
          <w:lang w:val="en-US"/>
        </w:rPr>
        <w:t>, </w:t>
      </w:r>
      <w:r w:rsidRPr="00CB2570">
        <w:rPr>
          <w:rFonts w:cstheme="minorHAnsi"/>
          <w:b/>
          <w:bCs/>
          <w:sz w:val="22"/>
          <w:szCs w:val="22"/>
          <w:lang w:val="en-US"/>
        </w:rPr>
        <w:t>Emmanuel Jeannot</w:t>
      </w:r>
      <w:r w:rsidRPr="00CB2570">
        <w:rPr>
          <w:rFonts w:cstheme="minorHAnsi"/>
          <w:sz w:val="22"/>
          <w:szCs w:val="22"/>
          <w:lang w:val="en-US"/>
        </w:rPr>
        <w:t> has been working with DDN Japan and is currently seconded to RIKEN’s Tokyo office, within the </w:t>
      </w:r>
      <w:r w:rsidRPr="00CB2570">
        <w:rPr>
          <w:rFonts w:cstheme="minorHAnsi"/>
          <w:b/>
          <w:bCs/>
          <w:sz w:val="22"/>
          <w:szCs w:val="22"/>
          <w:lang w:val="en-US"/>
        </w:rPr>
        <w:t>AI for Science</w:t>
      </w:r>
      <w:r w:rsidRPr="00CB2570">
        <w:rPr>
          <w:rFonts w:cstheme="minorHAnsi"/>
          <w:sz w:val="22"/>
          <w:szCs w:val="22"/>
          <w:lang w:val="en-US"/>
        </w:rPr>
        <w:t xml:space="preserve"> division led by Dr. Mohamed </w:t>
      </w:r>
      <w:proofErr w:type="spellStart"/>
      <w:r w:rsidRPr="00CB2570">
        <w:rPr>
          <w:rFonts w:cstheme="minorHAnsi"/>
          <w:sz w:val="22"/>
          <w:szCs w:val="22"/>
          <w:lang w:val="en-US"/>
        </w:rPr>
        <w:t>Wahib</w:t>
      </w:r>
      <w:proofErr w:type="spellEnd"/>
      <w:r w:rsidRPr="00CB2570">
        <w:rPr>
          <w:rFonts w:cstheme="minorHAnsi"/>
          <w:sz w:val="22"/>
          <w:szCs w:val="22"/>
          <w:lang w:val="en-US"/>
        </w:rPr>
        <w:t>. His research and development work focuses on improving data management strategies in AI-driven scientific workflows, particularly in the context of </w:t>
      </w:r>
      <w:r w:rsidRPr="00CB2570">
        <w:rPr>
          <w:rFonts w:cstheme="minorHAnsi"/>
          <w:b/>
          <w:bCs/>
          <w:sz w:val="22"/>
          <w:szCs w:val="22"/>
          <w:lang w:val="en-US"/>
        </w:rPr>
        <w:t>multimodal data</w:t>
      </w:r>
      <w:r w:rsidRPr="00CB2570">
        <w:rPr>
          <w:rFonts w:cstheme="minorHAnsi"/>
          <w:sz w:val="22"/>
          <w:szCs w:val="22"/>
          <w:lang w:val="en-US"/>
        </w:rPr>
        <w:t>—where integrating diverse data types enables deeper insights into complex phenomena that cannot be fully understood through a single modality.</w:t>
      </w:r>
    </w:p>
    <w:p w:rsidR="00CB2570" w:rsidRPr="00CB2570" w:rsidRDefault="00CB2570" w:rsidP="00CB2570">
      <w:pPr>
        <w:jc w:val="both"/>
        <w:rPr>
          <w:rFonts w:cstheme="minorHAnsi"/>
          <w:sz w:val="22"/>
          <w:szCs w:val="22"/>
          <w:lang w:val="en-US"/>
        </w:rPr>
      </w:pPr>
      <w:r w:rsidRPr="00CB2570">
        <w:rPr>
          <w:rFonts w:cstheme="minorHAnsi"/>
          <w:sz w:val="22"/>
          <w:szCs w:val="22"/>
          <w:lang w:val="en-US"/>
        </w:rPr>
        <w:t xml:space="preserve">One of the projects Emmanuel </w:t>
      </w:r>
      <w:r w:rsidRPr="00CB2570">
        <w:rPr>
          <w:rFonts w:cstheme="minorHAnsi"/>
          <w:sz w:val="22"/>
          <w:szCs w:val="22"/>
          <w:lang w:val="en-US"/>
        </w:rPr>
        <w:t xml:space="preserve">Jeannot </w:t>
      </w:r>
      <w:r w:rsidRPr="00CB2570">
        <w:rPr>
          <w:rFonts w:cstheme="minorHAnsi"/>
          <w:sz w:val="22"/>
          <w:szCs w:val="22"/>
          <w:lang w:val="en-US"/>
        </w:rPr>
        <w:t>is contributing to involves data generated by the </w:t>
      </w:r>
      <w:r w:rsidRPr="00CB2570">
        <w:rPr>
          <w:rFonts w:cstheme="minorHAnsi"/>
          <w:b/>
          <w:bCs/>
          <w:sz w:val="22"/>
          <w:szCs w:val="22"/>
          <w:lang w:val="en-US"/>
        </w:rPr>
        <w:t>SPring-8 synchrotron</w:t>
      </w:r>
      <w:r w:rsidRPr="00CB2570">
        <w:rPr>
          <w:rFonts w:cstheme="minorHAnsi"/>
          <w:sz w:val="22"/>
          <w:szCs w:val="22"/>
          <w:lang w:val="en-US"/>
        </w:rPr>
        <w:t xml:space="preserve">. This project focuses on tomography images of road core samples, which are extracted from pavement to assess road quality and inform maintenance planning. These multimodal datasets are transferred to RIKEN’s Kobe site, where they are processed using the </w:t>
      </w:r>
      <w:proofErr w:type="spellStart"/>
      <w:r w:rsidRPr="00CB2570">
        <w:rPr>
          <w:rFonts w:cstheme="minorHAnsi"/>
          <w:sz w:val="22"/>
          <w:szCs w:val="22"/>
          <w:lang w:val="en-US"/>
        </w:rPr>
        <w:t>Infinia</w:t>
      </w:r>
      <w:proofErr w:type="spellEnd"/>
      <w:r w:rsidRPr="00CB2570">
        <w:rPr>
          <w:rFonts w:cstheme="minorHAnsi"/>
          <w:sz w:val="22"/>
          <w:szCs w:val="22"/>
          <w:lang w:val="en-US"/>
        </w:rPr>
        <w:t xml:space="preserve"> server and the </w:t>
      </w:r>
      <w:proofErr w:type="spellStart"/>
      <w:r w:rsidRPr="00CB2570">
        <w:rPr>
          <w:rFonts w:cstheme="minorHAnsi"/>
          <w:sz w:val="22"/>
          <w:szCs w:val="22"/>
          <w:lang w:val="en-US"/>
        </w:rPr>
        <w:t>Fugaku</w:t>
      </w:r>
      <w:proofErr w:type="spellEnd"/>
      <w:r w:rsidRPr="00CB2570">
        <w:rPr>
          <w:rFonts w:cstheme="minorHAnsi"/>
          <w:sz w:val="22"/>
          <w:szCs w:val="22"/>
          <w:lang w:val="en-US"/>
        </w:rPr>
        <w:t xml:space="preserve"> supercomputer. Various AI models—tailored to each data modality—are applied to generate embeddings, which are then stored for further post-processing. In full-scale production, the system is expected to handle and process </w:t>
      </w:r>
      <w:r w:rsidR="00026E66">
        <w:rPr>
          <w:rFonts w:cstheme="minorHAnsi"/>
          <w:sz w:val="22"/>
          <w:szCs w:val="22"/>
          <w:lang w:val="en-US"/>
        </w:rPr>
        <w:t xml:space="preserve">several </w:t>
      </w:r>
      <w:r w:rsidRPr="00CB2570">
        <w:rPr>
          <w:rFonts w:cstheme="minorHAnsi"/>
          <w:b/>
          <w:bCs/>
          <w:sz w:val="22"/>
          <w:szCs w:val="22"/>
          <w:lang w:val="en-US"/>
        </w:rPr>
        <w:t>petabytes of data daily</w:t>
      </w:r>
      <w:r w:rsidRPr="00CB2570">
        <w:rPr>
          <w:rFonts w:cstheme="minorHAnsi"/>
          <w:sz w:val="22"/>
          <w:szCs w:val="22"/>
          <w:lang w:val="en-US"/>
        </w:rPr>
        <w:t>, underscoring the need for robust, scalable, and efficient data management solutions.</w:t>
      </w:r>
    </w:p>
    <w:p w:rsidR="000D68D0" w:rsidRPr="00CB2570" w:rsidRDefault="000D68D0" w:rsidP="00CB2570">
      <w:pPr>
        <w:pStyle w:val="Titre1"/>
        <w:jc w:val="both"/>
        <w:rPr>
          <w:rFonts w:cstheme="majorHAnsi"/>
          <w:sz w:val="28"/>
          <w:szCs w:val="28"/>
          <w:lang w:val="en-US"/>
        </w:rPr>
      </w:pPr>
      <w:r w:rsidRPr="00CB2570">
        <w:rPr>
          <w:rFonts w:cstheme="majorHAnsi"/>
          <w:sz w:val="28"/>
          <w:szCs w:val="28"/>
          <w:lang w:val="en-US"/>
        </w:rPr>
        <w:lastRenderedPageBreak/>
        <w:t xml:space="preserve">The </w:t>
      </w:r>
      <w:r w:rsidRPr="00CB2570">
        <w:rPr>
          <w:rFonts w:cstheme="majorHAnsi"/>
          <w:sz w:val="28"/>
          <w:szCs w:val="28"/>
          <w:lang w:val="en-US"/>
        </w:rPr>
        <w:t>Unified Multimodal Retriever Service</w:t>
      </w:r>
    </w:p>
    <w:p w:rsidR="00CB2570" w:rsidRPr="00CB2570" w:rsidRDefault="00CB2570" w:rsidP="00CB2570">
      <w:pPr>
        <w:jc w:val="both"/>
        <w:rPr>
          <w:rFonts w:cstheme="minorHAnsi"/>
          <w:sz w:val="22"/>
          <w:szCs w:val="22"/>
          <w:lang w:val="en-US"/>
        </w:rPr>
      </w:pPr>
      <w:r w:rsidRPr="00CB2570">
        <w:rPr>
          <w:rFonts w:cstheme="minorHAnsi"/>
          <w:sz w:val="22"/>
          <w:szCs w:val="22"/>
          <w:lang w:val="en-US"/>
        </w:rPr>
        <w:t>The </w:t>
      </w:r>
      <w:r w:rsidRPr="00CB2570">
        <w:rPr>
          <w:rFonts w:cstheme="minorHAnsi"/>
          <w:b/>
          <w:bCs/>
          <w:sz w:val="22"/>
          <w:szCs w:val="22"/>
          <w:lang w:val="en-US"/>
        </w:rPr>
        <w:t>Unified Multimodal Retriever Service (UMRS)</w:t>
      </w:r>
      <w:r w:rsidRPr="00CB2570">
        <w:rPr>
          <w:rFonts w:cstheme="minorHAnsi"/>
          <w:sz w:val="22"/>
          <w:szCs w:val="22"/>
          <w:lang w:val="en-US"/>
        </w:rPr>
        <w:t> is a high-level data management service developed by Emmanuel Jeannot as part of the SPring-8 data processing initiative. Its primary objective is to provide seamless and efficient management of multimodal data stored on S3-compatible systems—particularly the </w:t>
      </w:r>
      <w:proofErr w:type="spellStart"/>
      <w:r w:rsidRPr="00CB2570">
        <w:rPr>
          <w:rFonts w:cstheme="minorHAnsi"/>
          <w:b/>
          <w:bCs/>
          <w:sz w:val="22"/>
          <w:szCs w:val="22"/>
          <w:lang w:val="en-US"/>
        </w:rPr>
        <w:t>Infinia</w:t>
      </w:r>
      <w:proofErr w:type="spellEnd"/>
      <w:r w:rsidRPr="00CB2570">
        <w:rPr>
          <w:rFonts w:cstheme="minorHAnsi"/>
          <w:sz w:val="22"/>
          <w:szCs w:val="22"/>
          <w:lang w:val="en-US"/>
        </w:rPr>
        <w:t> storage platform—by automating the generation and handling of embeddings.</w:t>
      </w:r>
    </w:p>
    <w:p w:rsidR="00CB2570" w:rsidRPr="00CB2570" w:rsidRDefault="00CB2570" w:rsidP="00CB2570">
      <w:pPr>
        <w:jc w:val="both"/>
        <w:rPr>
          <w:rFonts w:cstheme="minorHAnsi"/>
          <w:sz w:val="22"/>
          <w:szCs w:val="22"/>
          <w:lang w:val="en-US"/>
        </w:rPr>
      </w:pPr>
      <w:r w:rsidRPr="00CB2570">
        <w:rPr>
          <w:rFonts w:cstheme="minorHAnsi"/>
          <w:sz w:val="22"/>
          <w:szCs w:val="22"/>
          <w:lang w:val="en-US"/>
        </w:rPr>
        <w:t>UMRS offers the following key features:</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Automated Embedding Computation</w:t>
      </w:r>
      <w:r w:rsidRPr="00CB2570">
        <w:rPr>
          <w:rFonts w:cstheme="minorHAnsi"/>
          <w:sz w:val="22"/>
          <w:szCs w:val="22"/>
          <w:lang w:val="en-US"/>
        </w:rPr>
        <w:t>: Automatically triggers the computation of embeddings as soon as new data is ingested into the system.</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Abstracted Metadata Management</w:t>
      </w:r>
      <w:r w:rsidRPr="00CB2570">
        <w:rPr>
          <w:rFonts w:cstheme="minorHAnsi"/>
          <w:sz w:val="22"/>
          <w:szCs w:val="22"/>
          <w:lang w:val="en-US"/>
        </w:rPr>
        <w:t>: Utilizes a custom </w:t>
      </w:r>
      <w:r w:rsidRPr="00CB2570">
        <w:rPr>
          <w:rFonts w:cstheme="minorHAnsi"/>
          <w:b/>
          <w:bCs/>
          <w:sz w:val="22"/>
          <w:szCs w:val="22"/>
          <w:lang w:val="en-US"/>
        </w:rPr>
        <w:t>PostgreSQL</w:t>
      </w:r>
      <w:r w:rsidRPr="00CB2570">
        <w:rPr>
          <w:rFonts w:cstheme="minorHAnsi"/>
          <w:sz w:val="22"/>
          <w:szCs w:val="22"/>
          <w:lang w:val="en-US"/>
        </w:rPr>
        <w:t> database to manage embeddings and associated metadata, simplifying access and control.</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Multimodal Data Handling</w:t>
      </w:r>
      <w:r w:rsidRPr="00CB2570">
        <w:rPr>
          <w:rFonts w:cstheme="minorHAnsi"/>
          <w:sz w:val="22"/>
          <w:szCs w:val="22"/>
          <w:lang w:val="en-US"/>
        </w:rPr>
        <w:t xml:space="preserve">: Leverages both </w:t>
      </w:r>
      <w:r w:rsidRPr="00CB2570">
        <w:rPr>
          <w:rFonts w:cstheme="minorHAnsi"/>
          <w:sz w:val="22"/>
          <w:szCs w:val="22"/>
          <w:lang w:val="en-US"/>
        </w:rPr>
        <w:t>object</w:t>
      </w:r>
      <w:r w:rsidRPr="00CB2570">
        <w:rPr>
          <w:rFonts w:cstheme="minorHAnsi"/>
          <w:sz w:val="22"/>
          <w:szCs w:val="22"/>
          <w:lang w:val="en-US"/>
        </w:rPr>
        <w:t xml:space="preserve"> metadata and storage structure to manage diverse data types effectively.</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Advanced Embedding Storage</w:t>
      </w:r>
      <w:r w:rsidRPr="00CB2570">
        <w:rPr>
          <w:rFonts w:cstheme="minorHAnsi"/>
          <w:sz w:val="22"/>
          <w:szCs w:val="22"/>
          <w:lang w:val="en-US"/>
        </w:rPr>
        <w:t>: Integrates </w:t>
      </w:r>
      <w:proofErr w:type="spellStart"/>
      <w:r w:rsidRPr="00CB2570">
        <w:rPr>
          <w:rFonts w:cstheme="minorHAnsi"/>
          <w:b/>
          <w:bCs/>
          <w:sz w:val="22"/>
          <w:szCs w:val="22"/>
          <w:lang w:val="en-US"/>
        </w:rPr>
        <w:t>PGVector</w:t>
      </w:r>
      <w:proofErr w:type="spellEnd"/>
      <w:r w:rsidRPr="00CB2570">
        <w:rPr>
          <w:rFonts w:cstheme="minorHAnsi"/>
          <w:sz w:val="22"/>
          <w:szCs w:val="22"/>
          <w:lang w:val="en-US"/>
        </w:rPr>
        <w:t>, a PostgreSQL extension designed for efficient embedding storage, enabling high-performance operations such as similarity comparison, indexing, and querying.</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Model-Agnostic Architecture</w:t>
      </w:r>
      <w:r w:rsidRPr="00CB2570">
        <w:rPr>
          <w:rFonts w:cstheme="minorHAnsi"/>
          <w:sz w:val="22"/>
          <w:szCs w:val="22"/>
          <w:lang w:val="en-US"/>
        </w:rPr>
        <w:t>: Supports easy integration of various AI models, allowing the system to process data from any modality.</w:t>
      </w:r>
    </w:p>
    <w:p w:rsidR="00CB2570" w:rsidRPr="00CB2570" w:rsidRDefault="00CB2570" w:rsidP="00CB2570">
      <w:pPr>
        <w:numPr>
          <w:ilvl w:val="0"/>
          <w:numId w:val="3"/>
        </w:numPr>
        <w:jc w:val="both"/>
        <w:rPr>
          <w:rFonts w:cstheme="minorHAnsi"/>
          <w:sz w:val="22"/>
          <w:szCs w:val="22"/>
          <w:lang w:val="en-US"/>
        </w:rPr>
      </w:pPr>
      <w:r w:rsidRPr="00CB2570">
        <w:rPr>
          <w:rFonts w:cstheme="minorHAnsi"/>
          <w:b/>
          <w:bCs/>
          <w:sz w:val="22"/>
          <w:szCs w:val="22"/>
          <w:lang w:val="en-US"/>
        </w:rPr>
        <w:t>Performance-Oriented Design</w:t>
      </w:r>
      <w:r w:rsidRPr="00CB2570">
        <w:rPr>
          <w:rFonts w:cstheme="minorHAnsi"/>
          <w:sz w:val="22"/>
          <w:szCs w:val="22"/>
          <w:lang w:val="en-US"/>
        </w:rPr>
        <w:t>: Optimized to take full advantage of available hardware resources, including GPUs, high-speed networks, and storage systems.</w:t>
      </w:r>
    </w:p>
    <w:p w:rsidR="00CB2570" w:rsidRPr="00CB2570" w:rsidRDefault="00CB2570" w:rsidP="00CB2570">
      <w:pPr>
        <w:jc w:val="both"/>
        <w:rPr>
          <w:rFonts w:cstheme="minorHAnsi"/>
          <w:sz w:val="22"/>
          <w:szCs w:val="22"/>
          <w:lang w:val="en-US"/>
        </w:rPr>
      </w:pPr>
      <w:r w:rsidRPr="00CB2570">
        <w:rPr>
          <w:rFonts w:cstheme="minorHAnsi"/>
          <w:sz w:val="22"/>
          <w:szCs w:val="22"/>
          <w:lang w:val="en-US"/>
        </w:rPr>
        <w:t>UMRS is designed to scale with the demands of large scientific workflows, making it a powerful tool for managing and analyzing complex, multimodal datasets in high-performance computing environments.</w:t>
      </w:r>
    </w:p>
    <w:p w:rsidR="00CB2570" w:rsidRPr="00CB2570" w:rsidRDefault="00CB2570" w:rsidP="00CB2570">
      <w:pPr>
        <w:pStyle w:val="Titre1"/>
        <w:jc w:val="both"/>
        <w:rPr>
          <w:rFonts w:cstheme="majorHAnsi"/>
          <w:sz w:val="28"/>
          <w:szCs w:val="28"/>
          <w:lang w:val="en-US"/>
        </w:rPr>
      </w:pPr>
      <w:r w:rsidRPr="00CB2570">
        <w:rPr>
          <w:rFonts w:cstheme="majorHAnsi"/>
          <w:sz w:val="28"/>
          <w:szCs w:val="28"/>
          <w:lang w:val="en-US"/>
        </w:rPr>
        <w:t xml:space="preserve">Toward Better Integration with </w:t>
      </w:r>
      <w:proofErr w:type="spellStart"/>
      <w:r w:rsidRPr="00CB2570">
        <w:rPr>
          <w:rFonts w:cstheme="majorHAnsi"/>
          <w:sz w:val="28"/>
          <w:szCs w:val="28"/>
          <w:lang w:val="en-US"/>
        </w:rPr>
        <w:t>Infinia</w:t>
      </w:r>
      <w:proofErr w:type="spellEnd"/>
      <w:r w:rsidRPr="00CB2570">
        <w:rPr>
          <w:rFonts w:cstheme="majorHAnsi"/>
          <w:sz w:val="28"/>
          <w:szCs w:val="28"/>
          <w:lang w:val="en-US"/>
        </w:rPr>
        <w:t xml:space="preserve"> through </w:t>
      </w:r>
      <w:proofErr w:type="spellStart"/>
      <w:r w:rsidRPr="00CB2570">
        <w:rPr>
          <w:rFonts w:cstheme="majorHAnsi"/>
          <w:sz w:val="28"/>
          <w:szCs w:val="28"/>
          <w:lang w:val="en-US"/>
        </w:rPr>
        <w:t>RedSQL</w:t>
      </w:r>
      <w:proofErr w:type="spellEnd"/>
    </w:p>
    <w:p w:rsidR="00CB2570" w:rsidRPr="00CB2570" w:rsidRDefault="00CB2570" w:rsidP="00CB2570">
      <w:pPr>
        <w:jc w:val="both"/>
        <w:rPr>
          <w:rFonts w:cstheme="minorHAnsi"/>
          <w:sz w:val="22"/>
          <w:szCs w:val="22"/>
          <w:lang w:val="en-US"/>
        </w:rPr>
      </w:pPr>
      <w:proofErr w:type="spellStart"/>
      <w:r w:rsidRPr="00CB2570">
        <w:rPr>
          <w:rFonts w:cstheme="minorHAnsi"/>
          <w:b/>
          <w:bCs/>
          <w:sz w:val="22"/>
          <w:szCs w:val="22"/>
          <w:lang w:val="en-US"/>
        </w:rPr>
        <w:t>RedSQL</w:t>
      </w:r>
      <w:proofErr w:type="spellEnd"/>
      <w:r w:rsidRPr="00CB2570">
        <w:rPr>
          <w:rFonts w:cstheme="minorHAnsi"/>
          <w:sz w:val="22"/>
          <w:szCs w:val="22"/>
          <w:lang w:val="en-US"/>
        </w:rPr>
        <w:t xml:space="preserve"> is a low-level feature of the </w:t>
      </w:r>
      <w:proofErr w:type="spellStart"/>
      <w:r w:rsidRPr="00CB2570">
        <w:rPr>
          <w:rFonts w:cstheme="minorHAnsi"/>
          <w:sz w:val="22"/>
          <w:szCs w:val="22"/>
          <w:lang w:val="en-US"/>
        </w:rPr>
        <w:t>Infinia</w:t>
      </w:r>
      <w:proofErr w:type="spellEnd"/>
      <w:r w:rsidRPr="00CB2570">
        <w:rPr>
          <w:rFonts w:cstheme="minorHAnsi"/>
          <w:sz w:val="22"/>
          <w:szCs w:val="22"/>
          <w:lang w:val="en-US"/>
        </w:rPr>
        <w:t xml:space="preserve"> S3-compatible storage system that enables access to both system-level and user-defined metadata (e.g., tags) associated with stored objects. While </w:t>
      </w:r>
      <w:proofErr w:type="spellStart"/>
      <w:r w:rsidRPr="00CB2570">
        <w:rPr>
          <w:rFonts w:cstheme="minorHAnsi"/>
          <w:sz w:val="22"/>
          <w:szCs w:val="22"/>
          <w:lang w:val="en-US"/>
        </w:rPr>
        <w:t>RedSQL</w:t>
      </w:r>
      <w:proofErr w:type="spellEnd"/>
      <w:r w:rsidRPr="00CB2570">
        <w:rPr>
          <w:rFonts w:cstheme="minorHAnsi"/>
          <w:sz w:val="22"/>
          <w:szCs w:val="22"/>
          <w:lang w:val="en-US"/>
        </w:rPr>
        <w:t xml:space="preserve"> exposes a SQL-like interface, it is not a full-featured SQL engine—it lacks support for advanced operations such as joins and complex </w:t>
      </w:r>
      <w:proofErr w:type="gramStart"/>
      <w:r w:rsidRPr="00CB2570">
        <w:rPr>
          <w:rFonts w:cstheme="minorHAnsi"/>
          <w:sz w:val="22"/>
          <w:szCs w:val="22"/>
          <w:lang w:val="en-US"/>
        </w:rPr>
        <w:t>WHERE</w:t>
      </w:r>
      <w:proofErr w:type="gramEnd"/>
      <w:r w:rsidRPr="00CB2570">
        <w:rPr>
          <w:rFonts w:cstheme="minorHAnsi"/>
          <w:sz w:val="22"/>
          <w:szCs w:val="22"/>
          <w:lang w:val="en-US"/>
        </w:rPr>
        <w:t> clauses.</w:t>
      </w:r>
    </w:p>
    <w:p w:rsidR="00CB2570" w:rsidRPr="00CB2570" w:rsidRDefault="00CB2570" w:rsidP="00CB2570">
      <w:pPr>
        <w:jc w:val="both"/>
        <w:rPr>
          <w:rFonts w:cstheme="minorHAnsi"/>
          <w:sz w:val="22"/>
          <w:szCs w:val="22"/>
          <w:lang w:val="en-US"/>
        </w:rPr>
      </w:pPr>
      <w:r w:rsidRPr="00CB2570">
        <w:rPr>
          <w:rFonts w:cstheme="minorHAnsi"/>
          <w:sz w:val="22"/>
          <w:szCs w:val="22"/>
          <w:lang w:val="en-US"/>
        </w:rPr>
        <w:t>However, by leveraging the </w:t>
      </w:r>
      <w:proofErr w:type="spellStart"/>
      <w:r w:rsidRPr="00CB2570">
        <w:rPr>
          <w:rFonts w:cstheme="minorHAnsi"/>
          <w:b/>
          <w:bCs/>
          <w:sz w:val="22"/>
          <w:szCs w:val="22"/>
          <w:lang w:val="en-US"/>
        </w:rPr>
        <w:t>RedSQL</w:t>
      </w:r>
      <w:proofErr w:type="spellEnd"/>
      <w:r w:rsidRPr="00CB2570">
        <w:rPr>
          <w:rFonts w:cstheme="minorHAnsi"/>
          <w:b/>
          <w:bCs/>
          <w:sz w:val="22"/>
          <w:szCs w:val="22"/>
          <w:lang w:val="en-US"/>
        </w:rPr>
        <w:t xml:space="preserve"> Foreign Data Wrapper (FDW)</w:t>
      </w:r>
      <w:r w:rsidRPr="00CB2570">
        <w:rPr>
          <w:rFonts w:cstheme="minorHAnsi"/>
          <w:sz w:val="22"/>
          <w:szCs w:val="22"/>
          <w:lang w:val="en-US"/>
        </w:rPr>
        <w:t xml:space="preserve"> within PostgreSQL, it becomes possible to integrate </w:t>
      </w:r>
      <w:proofErr w:type="spellStart"/>
      <w:r w:rsidRPr="00CB2570">
        <w:rPr>
          <w:rFonts w:cstheme="minorHAnsi"/>
          <w:sz w:val="22"/>
          <w:szCs w:val="22"/>
          <w:lang w:val="en-US"/>
        </w:rPr>
        <w:t>RedSQL</w:t>
      </w:r>
      <w:proofErr w:type="spellEnd"/>
      <w:r w:rsidRPr="00CB2570">
        <w:rPr>
          <w:rFonts w:cstheme="minorHAnsi"/>
          <w:sz w:val="22"/>
          <w:szCs w:val="22"/>
          <w:lang w:val="en-US"/>
        </w:rPr>
        <w:t xml:space="preserve"> tables directly into a PostgreSQL environment. This opens the door to more powerful and flexible metadata management capabilities, which are essential for scaling and enhancing the </w:t>
      </w:r>
      <w:r w:rsidRPr="00CB2570">
        <w:rPr>
          <w:rFonts w:cstheme="minorHAnsi"/>
          <w:b/>
          <w:bCs/>
          <w:sz w:val="22"/>
          <w:szCs w:val="22"/>
          <w:lang w:val="en-US"/>
        </w:rPr>
        <w:t>Unified Multimodal Retriever Service (UMRS)</w:t>
      </w:r>
      <w:r w:rsidRPr="00CB2570">
        <w:rPr>
          <w:rFonts w:cstheme="minorHAnsi"/>
          <w:sz w:val="22"/>
          <w:szCs w:val="22"/>
          <w:lang w:val="en-US"/>
        </w:rPr>
        <w:t>.</w:t>
      </w:r>
      <w:r>
        <w:rPr>
          <w:rFonts w:cstheme="minorHAnsi"/>
          <w:sz w:val="22"/>
          <w:szCs w:val="22"/>
          <w:lang w:val="en-US"/>
        </w:rPr>
        <w:t xml:space="preserve"> As such, the </w:t>
      </w:r>
      <w:r>
        <w:rPr>
          <w:rFonts w:cstheme="minorHAnsi"/>
          <w:b/>
          <w:bCs/>
          <w:sz w:val="22"/>
          <w:szCs w:val="22"/>
          <w:lang w:val="en-US"/>
        </w:rPr>
        <w:t>expected b</w:t>
      </w:r>
      <w:r w:rsidRPr="00CB2570">
        <w:rPr>
          <w:rFonts w:cstheme="minorHAnsi"/>
          <w:b/>
          <w:bCs/>
          <w:sz w:val="22"/>
          <w:szCs w:val="22"/>
          <w:lang w:val="en-US"/>
        </w:rPr>
        <w:t xml:space="preserve">enefits of </w:t>
      </w:r>
      <w:proofErr w:type="spellStart"/>
      <w:r w:rsidRPr="00CB2570">
        <w:rPr>
          <w:rFonts w:cstheme="minorHAnsi"/>
          <w:b/>
          <w:bCs/>
          <w:sz w:val="22"/>
          <w:szCs w:val="22"/>
          <w:lang w:val="en-US"/>
        </w:rPr>
        <w:t>RedSQL</w:t>
      </w:r>
      <w:proofErr w:type="spellEnd"/>
      <w:r w:rsidRPr="00CB2570">
        <w:rPr>
          <w:rFonts w:cstheme="minorHAnsi"/>
          <w:b/>
          <w:bCs/>
          <w:sz w:val="22"/>
          <w:szCs w:val="22"/>
          <w:lang w:val="en-US"/>
        </w:rPr>
        <w:t xml:space="preserve"> FDW Integration for UMRS</w:t>
      </w:r>
      <w:r>
        <w:rPr>
          <w:rFonts w:cstheme="minorHAnsi"/>
          <w:b/>
          <w:bCs/>
          <w:sz w:val="22"/>
          <w:szCs w:val="22"/>
          <w:lang w:val="en-US"/>
        </w:rPr>
        <w:t xml:space="preserve"> are</w:t>
      </w:r>
      <w:r w:rsidRPr="00CB2570">
        <w:rPr>
          <w:rFonts w:cstheme="minorHAnsi"/>
          <w:b/>
          <w:bCs/>
          <w:sz w:val="22"/>
          <w:szCs w:val="22"/>
          <w:lang w:val="en-US"/>
        </w:rPr>
        <w:t>:</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High-Performance Metadata Access</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Enables faster and more efficient querying of object metadata, which is critical for large-scale data workflows. This includes filtering by file type, creation date, size, or custom metadata fields.</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Tag-Based Object Management</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Allows tagging of objects and querying based on those tags, facilitating better organization, categorization, and retrieval of multimodal datasets.</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Improved Data Integrity and Monitoring</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Enables checks to ensure that all stored objects have corresponding embeddings, helping maintain consistency and completeness in the data pipeline.</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Smarter Data Lifecycle Management</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Facilitates rapid access to metadata needed to make decisions about data compression, deletion, or migration to secondary storage—especially important when dealing with petabyte-scale datasets.</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Enhanced Query Capabilities</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 xml:space="preserve">Through PostgreSQL, users can perform complex queries, joins, and aggregations that are not natively supported by </w:t>
      </w:r>
      <w:proofErr w:type="spellStart"/>
      <w:r w:rsidRPr="00CB2570">
        <w:rPr>
          <w:rFonts w:cstheme="minorHAnsi"/>
          <w:sz w:val="22"/>
          <w:szCs w:val="22"/>
          <w:lang w:val="en-US"/>
        </w:rPr>
        <w:t>RedSQL</w:t>
      </w:r>
      <w:proofErr w:type="spellEnd"/>
      <w:r w:rsidRPr="00CB2570">
        <w:rPr>
          <w:rFonts w:cstheme="minorHAnsi"/>
          <w:sz w:val="22"/>
          <w:szCs w:val="22"/>
          <w:lang w:val="en-US"/>
        </w:rPr>
        <w:t>, enabling more sophisticated data analysis and reporting.</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t>Unified Metadata View</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 xml:space="preserve">Integrating </w:t>
      </w:r>
      <w:proofErr w:type="spellStart"/>
      <w:r w:rsidRPr="00CB2570">
        <w:rPr>
          <w:rFonts w:cstheme="minorHAnsi"/>
          <w:sz w:val="22"/>
          <w:szCs w:val="22"/>
          <w:lang w:val="en-US"/>
        </w:rPr>
        <w:t>RedSQL</w:t>
      </w:r>
      <w:proofErr w:type="spellEnd"/>
      <w:r w:rsidRPr="00CB2570">
        <w:rPr>
          <w:rFonts w:cstheme="minorHAnsi"/>
          <w:sz w:val="22"/>
          <w:szCs w:val="22"/>
          <w:lang w:val="en-US"/>
        </w:rPr>
        <w:t xml:space="preserve"> tables into PostgreSQL allows UMRS to present a unified view of both system and user metadata, simplifying development and reducing the need for custom logic.</w:t>
      </w:r>
    </w:p>
    <w:p w:rsidR="00CB2570" w:rsidRPr="00CB2570" w:rsidRDefault="00CB2570" w:rsidP="00CB2570">
      <w:pPr>
        <w:pStyle w:val="Paragraphedeliste"/>
        <w:numPr>
          <w:ilvl w:val="0"/>
          <w:numId w:val="5"/>
        </w:numPr>
        <w:jc w:val="both"/>
        <w:rPr>
          <w:rFonts w:cstheme="minorHAnsi"/>
          <w:sz w:val="22"/>
          <w:szCs w:val="22"/>
          <w:lang w:val="en-US"/>
        </w:rPr>
      </w:pPr>
      <w:r w:rsidRPr="00CB2570">
        <w:rPr>
          <w:rFonts w:cstheme="minorHAnsi"/>
          <w:b/>
          <w:bCs/>
          <w:sz w:val="22"/>
          <w:szCs w:val="22"/>
          <w:lang w:val="en-US"/>
        </w:rPr>
        <w:lastRenderedPageBreak/>
        <w:t>Foundation for Automation and Policy Enforcement</w:t>
      </w:r>
      <w:r>
        <w:rPr>
          <w:rFonts w:cstheme="minorHAnsi"/>
          <w:sz w:val="22"/>
          <w:szCs w:val="22"/>
          <w:lang w:val="en-US"/>
        </w:rPr>
        <w:t>:</w:t>
      </w:r>
      <w:r w:rsidRPr="00CB2570">
        <w:rPr>
          <w:rFonts w:cstheme="minorHAnsi"/>
          <w:sz w:val="22"/>
          <w:szCs w:val="22"/>
          <w:lang w:val="en-US"/>
        </w:rPr>
        <w:t xml:space="preserve"> </w:t>
      </w:r>
      <w:r w:rsidRPr="00CB2570">
        <w:rPr>
          <w:rFonts w:cstheme="minorHAnsi"/>
          <w:sz w:val="22"/>
          <w:szCs w:val="22"/>
          <w:lang w:val="en-US"/>
        </w:rPr>
        <w:t>Enables the implementation of automated rules and policies (e.g., auto-tagging, access control, data expiration) based on metadata conditions.</w:t>
      </w:r>
    </w:p>
    <w:p w:rsidR="00CB2570" w:rsidRPr="00CB2570" w:rsidRDefault="00CB2570" w:rsidP="00CB2570">
      <w:pPr>
        <w:pStyle w:val="Titre1"/>
        <w:jc w:val="both"/>
        <w:rPr>
          <w:rFonts w:cstheme="majorHAnsi"/>
          <w:sz w:val="28"/>
          <w:szCs w:val="28"/>
          <w:lang w:val="en-US"/>
        </w:rPr>
      </w:pPr>
      <w:r w:rsidRPr="00CB2570">
        <w:rPr>
          <w:rFonts w:cstheme="majorHAnsi"/>
          <w:sz w:val="28"/>
          <w:szCs w:val="28"/>
          <w:lang w:val="en-US"/>
        </w:rPr>
        <w:t>Strategic Importance for DDN</w:t>
      </w:r>
    </w:p>
    <w:p w:rsidR="00CB2570" w:rsidRPr="00CB2570" w:rsidRDefault="00CB2570" w:rsidP="00CB2570">
      <w:pPr>
        <w:jc w:val="both"/>
        <w:rPr>
          <w:rFonts w:cstheme="minorHAnsi"/>
          <w:sz w:val="22"/>
          <w:szCs w:val="22"/>
          <w:lang w:val="en-US"/>
        </w:rPr>
      </w:pPr>
      <w:r w:rsidRPr="00CB2570">
        <w:rPr>
          <w:rFonts w:cstheme="minorHAnsi"/>
          <w:sz w:val="22"/>
          <w:szCs w:val="22"/>
          <w:lang w:val="en-US"/>
        </w:rPr>
        <w:t>RIKEN is a major DDN customer, and the SPring-8</w:t>
      </w:r>
      <w:r w:rsidR="00026E66">
        <w:rPr>
          <w:rFonts w:cstheme="minorHAnsi"/>
          <w:sz w:val="22"/>
          <w:szCs w:val="22"/>
          <w:lang w:val="en-US"/>
        </w:rPr>
        <w:t xml:space="preserve"> data processing</w:t>
      </w:r>
      <w:r w:rsidRPr="00CB2570">
        <w:rPr>
          <w:rFonts w:cstheme="minorHAnsi"/>
          <w:sz w:val="22"/>
          <w:szCs w:val="22"/>
          <w:lang w:val="en-US"/>
        </w:rPr>
        <w:t xml:space="preserve"> project offers a unique opportunity to showcase </w:t>
      </w:r>
      <w:proofErr w:type="spellStart"/>
      <w:r w:rsidRPr="00CB2570">
        <w:rPr>
          <w:rFonts w:cstheme="minorHAnsi"/>
          <w:b/>
          <w:bCs/>
          <w:sz w:val="22"/>
          <w:szCs w:val="22"/>
          <w:lang w:val="en-US"/>
        </w:rPr>
        <w:t>Infinia’s</w:t>
      </w:r>
      <w:proofErr w:type="spellEnd"/>
      <w:r w:rsidRPr="00CB2570">
        <w:rPr>
          <w:rFonts w:cstheme="minorHAnsi"/>
          <w:b/>
          <w:bCs/>
          <w:sz w:val="22"/>
          <w:szCs w:val="22"/>
          <w:lang w:val="en-US"/>
        </w:rPr>
        <w:t xml:space="preserve"> value in real-world, AI-driven scientific workflows</w:t>
      </w:r>
      <w:r w:rsidRPr="00CB2570">
        <w:rPr>
          <w:rFonts w:cstheme="minorHAnsi"/>
          <w:sz w:val="22"/>
          <w:szCs w:val="22"/>
          <w:lang w:val="en-US"/>
        </w:rPr>
        <w:t>. The </w:t>
      </w:r>
      <w:r w:rsidRPr="00CB2570">
        <w:rPr>
          <w:rFonts w:cstheme="minorHAnsi"/>
          <w:b/>
          <w:bCs/>
          <w:sz w:val="22"/>
          <w:szCs w:val="22"/>
          <w:lang w:val="en-US"/>
        </w:rPr>
        <w:t>UMRS</w:t>
      </w:r>
      <w:r w:rsidRPr="00CB2570">
        <w:rPr>
          <w:rFonts w:cstheme="minorHAnsi"/>
          <w:sz w:val="22"/>
          <w:szCs w:val="22"/>
          <w:lang w:val="en-US"/>
        </w:rPr>
        <w:t xml:space="preserve"> service, developed in this context, highlights how </w:t>
      </w:r>
      <w:proofErr w:type="spellStart"/>
      <w:r w:rsidRPr="00CB2570">
        <w:rPr>
          <w:rFonts w:cstheme="minorHAnsi"/>
          <w:sz w:val="22"/>
          <w:szCs w:val="22"/>
          <w:lang w:val="en-US"/>
        </w:rPr>
        <w:t>Infinia</w:t>
      </w:r>
      <w:proofErr w:type="spellEnd"/>
      <w:r w:rsidRPr="00CB2570">
        <w:rPr>
          <w:rFonts w:cstheme="minorHAnsi"/>
          <w:sz w:val="22"/>
          <w:szCs w:val="22"/>
          <w:lang w:val="en-US"/>
        </w:rPr>
        <w:t xml:space="preserve"> can support large-scale, multimodal data processing beyond LLMs.</w:t>
      </w:r>
    </w:p>
    <w:p w:rsidR="00CB2570" w:rsidRPr="00CB2570" w:rsidRDefault="00CB2570" w:rsidP="00CB2570">
      <w:pPr>
        <w:jc w:val="both"/>
        <w:rPr>
          <w:rFonts w:cstheme="minorHAnsi"/>
          <w:sz w:val="22"/>
          <w:szCs w:val="22"/>
          <w:lang w:val="en-US"/>
        </w:rPr>
      </w:pPr>
      <w:r w:rsidRPr="00CB2570">
        <w:rPr>
          <w:rFonts w:cstheme="minorHAnsi"/>
          <w:sz w:val="22"/>
          <w:szCs w:val="22"/>
          <w:lang w:val="en-US"/>
        </w:rPr>
        <w:t>Granting access to the </w:t>
      </w:r>
      <w:proofErr w:type="spellStart"/>
      <w:r w:rsidRPr="00CB2570">
        <w:rPr>
          <w:rFonts w:cstheme="minorHAnsi"/>
          <w:b/>
          <w:bCs/>
          <w:sz w:val="22"/>
          <w:szCs w:val="22"/>
          <w:lang w:val="en-US"/>
        </w:rPr>
        <w:t>RedSQL</w:t>
      </w:r>
      <w:proofErr w:type="spellEnd"/>
      <w:r w:rsidRPr="00CB2570">
        <w:rPr>
          <w:rFonts w:cstheme="minorHAnsi"/>
          <w:b/>
          <w:bCs/>
          <w:sz w:val="22"/>
          <w:szCs w:val="22"/>
          <w:lang w:val="en-US"/>
        </w:rPr>
        <w:t xml:space="preserve"> FDW</w:t>
      </w:r>
      <w:r w:rsidRPr="00CB2570">
        <w:rPr>
          <w:rFonts w:cstheme="minorHAnsi"/>
          <w:sz w:val="22"/>
          <w:szCs w:val="22"/>
          <w:lang w:val="en-US"/>
        </w:rPr>
        <w:t> would enable advanced metadata operations, improve performance, and unlock new features. Most importantly, this integration will be deployed in a </w:t>
      </w:r>
      <w:r w:rsidRPr="00CB2570">
        <w:rPr>
          <w:rFonts w:cstheme="minorHAnsi"/>
          <w:b/>
          <w:bCs/>
          <w:sz w:val="22"/>
          <w:szCs w:val="22"/>
          <w:lang w:val="en-US"/>
        </w:rPr>
        <w:t>live production setting</w:t>
      </w:r>
      <w:r w:rsidRPr="00CB2570">
        <w:rPr>
          <w:rFonts w:cstheme="minorHAnsi"/>
          <w:sz w:val="22"/>
          <w:szCs w:val="22"/>
          <w:lang w:val="en-US"/>
        </w:rPr>
        <w:t>, creating a </w:t>
      </w:r>
      <w:r w:rsidRPr="00CB2570">
        <w:rPr>
          <w:rFonts w:cstheme="minorHAnsi"/>
          <w:b/>
          <w:bCs/>
          <w:sz w:val="22"/>
          <w:szCs w:val="22"/>
          <w:lang w:val="en-US"/>
        </w:rPr>
        <w:t>valuable feedback loop</w:t>
      </w:r>
      <w:r w:rsidRPr="00CB2570">
        <w:rPr>
          <w:rFonts w:cstheme="minorHAnsi"/>
          <w:sz w:val="22"/>
          <w:szCs w:val="22"/>
          <w:lang w:val="en-US"/>
        </w:rPr>
        <w:t xml:space="preserve"> where real user experience directly informs future improvements to </w:t>
      </w:r>
      <w:proofErr w:type="spellStart"/>
      <w:r w:rsidRPr="00CB2570">
        <w:rPr>
          <w:rFonts w:cstheme="minorHAnsi"/>
          <w:sz w:val="22"/>
          <w:szCs w:val="22"/>
          <w:lang w:val="en-US"/>
        </w:rPr>
        <w:t>Infinia</w:t>
      </w:r>
      <w:proofErr w:type="spellEnd"/>
      <w:r w:rsidRPr="00CB2570">
        <w:rPr>
          <w:rFonts w:cstheme="minorHAnsi"/>
          <w:sz w:val="22"/>
          <w:szCs w:val="22"/>
          <w:lang w:val="en-US"/>
        </w:rPr>
        <w:t xml:space="preserve"> and </w:t>
      </w:r>
      <w:proofErr w:type="spellStart"/>
      <w:r w:rsidRPr="00CB2570">
        <w:rPr>
          <w:rFonts w:cstheme="minorHAnsi"/>
          <w:sz w:val="22"/>
          <w:szCs w:val="22"/>
          <w:lang w:val="en-US"/>
        </w:rPr>
        <w:t>RedSQL</w:t>
      </w:r>
      <w:proofErr w:type="spellEnd"/>
      <w:r w:rsidRPr="00CB2570">
        <w:rPr>
          <w:rFonts w:cstheme="minorHAnsi"/>
          <w:sz w:val="22"/>
          <w:szCs w:val="22"/>
          <w:lang w:val="en-US"/>
        </w:rPr>
        <w:t>.</w:t>
      </w:r>
    </w:p>
    <w:p w:rsidR="00CB2570" w:rsidRPr="00CB2570" w:rsidRDefault="00CB2570" w:rsidP="00CB2570">
      <w:pPr>
        <w:jc w:val="both"/>
        <w:rPr>
          <w:rFonts w:cstheme="minorHAnsi"/>
          <w:sz w:val="22"/>
          <w:szCs w:val="22"/>
          <w:lang w:val="en-US"/>
        </w:rPr>
      </w:pPr>
    </w:p>
    <w:sectPr w:rsidR="00CB2570" w:rsidRPr="00CB2570" w:rsidSect="000F51BF">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66B9C"/>
    <w:multiLevelType w:val="multilevel"/>
    <w:tmpl w:val="FE42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50EFA"/>
    <w:multiLevelType w:val="multilevel"/>
    <w:tmpl w:val="8502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B67B6"/>
    <w:multiLevelType w:val="hybridMultilevel"/>
    <w:tmpl w:val="FF32D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8D306AC"/>
    <w:multiLevelType w:val="hybridMultilevel"/>
    <w:tmpl w:val="3A7C0D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EF269EC"/>
    <w:multiLevelType w:val="hybridMultilevel"/>
    <w:tmpl w:val="7E0E44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7667107">
    <w:abstractNumId w:val="3"/>
  </w:num>
  <w:num w:numId="2" w16cid:durableId="1131360962">
    <w:abstractNumId w:val="4"/>
  </w:num>
  <w:num w:numId="3" w16cid:durableId="1033068289">
    <w:abstractNumId w:val="1"/>
  </w:num>
  <w:num w:numId="4" w16cid:durableId="2002197866">
    <w:abstractNumId w:val="0"/>
  </w:num>
  <w:num w:numId="5" w16cid:durableId="121660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D0"/>
    <w:rsid w:val="00026E66"/>
    <w:rsid w:val="000D68D0"/>
    <w:rsid w:val="000F51BF"/>
    <w:rsid w:val="002828C3"/>
    <w:rsid w:val="004F7CDB"/>
    <w:rsid w:val="006B069B"/>
    <w:rsid w:val="008508FD"/>
    <w:rsid w:val="00874DB1"/>
    <w:rsid w:val="00931D7D"/>
    <w:rsid w:val="00A215D2"/>
    <w:rsid w:val="00C40F70"/>
    <w:rsid w:val="00CA7602"/>
    <w:rsid w:val="00CB2570"/>
    <w:rsid w:val="00EB1B79"/>
    <w:rsid w:val="00EC1BD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D2CE0AE"/>
  <w15:chartTrackingRefBased/>
  <w15:docId w15:val="{13B95ACD-0A43-5146-B947-8E1EDF91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68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B257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CB2570"/>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uiPriority w:val="9"/>
    <w:semiHidden/>
    <w:unhideWhenUsed/>
    <w:qFormat/>
    <w:rsid w:val="00CB257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D68D0"/>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68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68D0"/>
    <w:pPr>
      <w:numPr>
        <w:ilvl w:val="1"/>
      </w:numPr>
      <w:spacing w:after="160"/>
    </w:pPr>
    <w:rPr>
      <w:rFonts w:eastAsiaTheme="minorEastAsia"/>
      <w:color w:val="5A5A5A" w:themeColor="text1" w:themeTint="A5"/>
      <w:spacing w:val="15"/>
      <w:sz w:val="22"/>
      <w:szCs w:val="22"/>
    </w:rPr>
  </w:style>
  <w:style w:type="character" w:customStyle="1" w:styleId="Sous-titreCar">
    <w:name w:val="Sous-titre Car"/>
    <w:basedOn w:val="Policepardfaut"/>
    <w:link w:val="Sous-titre"/>
    <w:uiPriority w:val="11"/>
    <w:rsid w:val="000D68D0"/>
    <w:rPr>
      <w:rFonts w:eastAsiaTheme="minorEastAsia"/>
      <w:color w:val="5A5A5A" w:themeColor="text1" w:themeTint="A5"/>
      <w:spacing w:val="15"/>
      <w:sz w:val="22"/>
      <w:szCs w:val="22"/>
    </w:rPr>
  </w:style>
  <w:style w:type="character" w:customStyle="1" w:styleId="Titre1Car">
    <w:name w:val="Titre 1 Car"/>
    <w:basedOn w:val="Policepardfaut"/>
    <w:link w:val="Titre1"/>
    <w:uiPriority w:val="9"/>
    <w:rsid w:val="000D68D0"/>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0D68D0"/>
    <w:pPr>
      <w:ind w:left="720"/>
      <w:contextualSpacing/>
    </w:pPr>
  </w:style>
  <w:style w:type="character" w:customStyle="1" w:styleId="Titre2Car">
    <w:name w:val="Titre 2 Car"/>
    <w:basedOn w:val="Policepardfaut"/>
    <w:link w:val="Titre2"/>
    <w:uiPriority w:val="9"/>
    <w:rsid w:val="00CB257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CB2570"/>
    <w:rPr>
      <w:rFonts w:asciiTheme="majorHAnsi" w:eastAsiaTheme="majorEastAsia" w:hAnsiTheme="majorHAnsi" w:cstheme="majorBidi"/>
      <w:color w:val="1F3763" w:themeColor="accent1" w:themeShade="7F"/>
    </w:rPr>
  </w:style>
  <w:style w:type="character" w:customStyle="1" w:styleId="Titre4Car">
    <w:name w:val="Titre 4 Car"/>
    <w:basedOn w:val="Policepardfaut"/>
    <w:link w:val="Titre4"/>
    <w:uiPriority w:val="9"/>
    <w:semiHidden/>
    <w:rsid w:val="00CB257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9933">
      <w:bodyDiv w:val="1"/>
      <w:marLeft w:val="0"/>
      <w:marRight w:val="0"/>
      <w:marTop w:val="0"/>
      <w:marBottom w:val="0"/>
      <w:divBdr>
        <w:top w:val="none" w:sz="0" w:space="0" w:color="auto"/>
        <w:left w:val="none" w:sz="0" w:space="0" w:color="auto"/>
        <w:bottom w:val="none" w:sz="0" w:space="0" w:color="auto"/>
        <w:right w:val="none" w:sz="0" w:space="0" w:color="auto"/>
      </w:divBdr>
    </w:div>
    <w:div w:id="205333108">
      <w:bodyDiv w:val="1"/>
      <w:marLeft w:val="0"/>
      <w:marRight w:val="0"/>
      <w:marTop w:val="0"/>
      <w:marBottom w:val="0"/>
      <w:divBdr>
        <w:top w:val="none" w:sz="0" w:space="0" w:color="auto"/>
        <w:left w:val="none" w:sz="0" w:space="0" w:color="auto"/>
        <w:bottom w:val="none" w:sz="0" w:space="0" w:color="auto"/>
        <w:right w:val="none" w:sz="0" w:space="0" w:color="auto"/>
      </w:divBdr>
    </w:div>
    <w:div w:id="344867353">
      <w:bodyDiv w:val="1"/>
      <w:marLeft w:val="0"/>
      <w:marRight w:val="0"/>
      <w:marTop w:val="0"/>
      <w:marBottom w:val="0"/>
      <w:divBdr>
        <w:top w:val="none" w:sz="0" w:space="0" w:color="auto"/>
        <w:left w:val="none" w:sz="0" w:space="0" w:color="auto"/>
        <w:bottom w:val="none" w:sz="0" w:space="0" w:color="auto"/>
        <w:right w:val="none" w:sz="0" w:space="0" w:color="auto"/>
      </w:divBdr>
    </w:div>
    <w:div w:id="510142223">
      <w:bodyDiv w:val="1"/>
      <w:marLeft w:val="0"/>
      <w:marRight w:val="0"/>
      <w:marTop w:val="0"/>
      <w:marBottom w:val="0"/>
      <w:divBdr>
        <w:top w:val="none" w:sz="0" w:space="0" w:color="auto"/>
        <w:left w:val="none" w:sz="0" w:space="0" w:color="auto"/>
        <w:bottom w:val="none" w:sz="0" w:space="0" w:color="auto"/>
        <w:right w:val="none" w:sz="0" w:space="0" w:color="auto"/>
      </w:divBdr>
    </w:div>
    <w:div w:id="510531332">
      <w:bodyDiv w:val="1"/>
      <w:marLeft w:val="0"/>
      <w:marRight w:val="0"/>
      <w:marTop w:val="0"/>
      <w:marBottom w:val="0"/>
      <w:divBdr>
        <w:top w:val="none" w:sz="0" w:space="0" w:color="auto"/>
        <w:left w:val="none" w:sz="0" w:space="0" w:color="auto"/>
        <w:bottom w:val="none" w:sz="0" w:space="0" w:color="auto"/>
        <w:right w:val="none" w:sz="0" w:space="0" w:color="auto"/>
      </w:divBdr>
    </w:div>
    <w:div w:id="558057423">
      <w:bodyDiv w:val="1"/>
      <w:marLeft w:val="0"/>
      <w:marRight w:val="0"/>
      <w:marTop w:val="0"/>
      <w:marBottom w:val="0"/>
      <w:divBdr>
        <w:top w:val="none" w:sz="0" w:space="0" w:color="auto"/>
        <w:left w:val="none" w:sz="0" w:space="0" w:color="auto"/>
        <w:bottom w:val="none" w:sz="0" w:space="0" w:color="auto"/>
        <w:right w:val="none" w:sz="0" w:space="0" w:color="auto"/>
      </w:divBdr>
    </w:div>
    <w:div w:id="642268908">
      <w:bodyDiv w:val="1"/>
      <w:marLeft w:val="0"/>
      <w:marRight w:val="0"/>
      <w:marTop w:val="0"/>
      <w:marBottom w:val="0"/>
      <w:divBdr>
        <w:top w:val="none" w:sz="0" w:space="0" w:color="auto"/>
        <w:left w:val="none" w:sz="0" w:space="0" w:color="auto"/>
        <w:bottom w:val="none" w:sz="0" w:space="0" w:color="auto"/>
        <w:right w:val="none" w:sz="0" w:space="0" w:color="auto"/>
      </w:divBdr>
    </w:div>
    <w:div w:id="728311783">
      <w:bodyDiv w:val="1"/>
      <w:marLeft w:val="0"/>
      <w:marRight w:val="0"/>
      <w:marTop w:val="0"/>
      <w:marBottom w:val="0"/>
      <w:divBdr>
        <w:top w:val="none" w:sz="0" w:space="0" w:color="auto"/>
        <w:left w:val="none" w:sz="0" w:space="0" w:color="auto"/>
        <w:bottom w:val="none" w:sz="0" w:space="0" w:color="auto"/>
        <w:right w:val="none" w:sz="0" w:space="0" w:color="auto"/>
      </w:divBdr>
    </w:div>
    <w:div w:id="930048700">
      <w:bodyDiv w:val="1"/>
      <w:marLeft w:val="0"/>
      <w:marRight w:val="0"/>
      <w:marTop w:val="0"/>
      <w:marBottom w:val="0"/>
      <w:divBdr>
        <w:top w:val="none" w:sz="0" w:space="0" w:color="auto"/>
        <w:left w:val="none" w:sz="0" w:space="0" w:color="auto"/>
        <w:bottom w:val="none" w:sz="0" w:space="0" w:color="auto"/>
        <w:right w:val="none" w:sz="0" w:space="0" w:color="auto"/>
      </w:divBdr>
    </w:div>
    <w:div w:id="984431643">
      <w:bodyDiv w:val="1"/>
      <w:marLeft w:val="0"/>
      <w:marRight w:val="0"/>
      <w:marTop w:val="0"/>
      <w:marBottom w:val="0"/>
      <w:divBdr>
        <w:top w:val="none" w:sz="0" w:space="0" w:color="auto"/>
        <w:left w:val="none" w:sz="0" w:space="0" w:color="auto"/>
        <w:bottom w:val="none" w:sz="0" w:space="0" w:color="auto"/>
        <w:right w:val="none" w:sz="0" w:space="0" w:color="auto"/>
      </w:divBdr>
    </w:div>
    <w:div w:id="1166558976">
      <w:bodyDiv w:val="1"/>
      <w:marLeft w:val="0"/>
      <w:marRight w:val="0"/>
      <w:marTop w:val="0"/>
      <w:marBottom w:val="0"/>
      <w:divBdr>
        <w:top w:val="none" w:sz="0" w:space="0" w:color="auto"/>
        <w:left w:val="none" w:sz="0" w:space="0" w:color="auto"/>
        <w:bottom w:val="none" w:sz="0" w:space="0" w:color="auto"/>
        <w:right w:val="none" w:sz="0" w:space="0" w:color="auto"/>
      </w:divBdr>
    </w:div>
    <w:div w:id="1274292140">
      <w:bodyDiv w:val="1"/>
      <w:marLeft w:val="0"/>
      <w:marRight w:val="0"/>
      <w:marTop w:val="0"/>
      <w:marBottom w:val="0"/>
      <w:divBdr>
        <w:top w:val="none" w:sz="0" w:space="0" w:color="auto"/>
        <w:left w:val="none" w:sz="0" w:space="0" w:color="auto"/>
        <w:bottom w:val="none" w:sz="0" w:space="0" w:color="auto"/>
        <w:right w:val="none" w:sz="0" w:space="0" w:color="auto"/>
      </w:divBdr>
    </w:div>
    <w:div w:id="1288506356">
      <w:bodyDiv w:val="1"/>
      <w:marLeft w:val="0"/>
      <w:marRight w:val="0"/>
      <w:marTop w:val="0"/>
      <w:marBottom w:val="0"/>
      <w:divBdr>
        <w:top w:val="none" w:sz="0" w:space="0" w:color="auto"/>
        <w:left w:val="none" w:sz="0" w:space="0" w:color="auto"/>
        <w:bottom w:val="none" w:sz="0" w:space="0" w:color="auto"/>
        <w:right w:val="none" w:sz="0" w:space="0" w:color="auto"/>
      </w:divBdr>
    </w:div>
    <w:div w:id="1811046061">
      <w:bodyDiv w:val="1"/>
      <w:marLeft w:val="0"/>
      <w:marRight w:val="0"/>
      <w:marTop w:val="0"/>
      <w:marBottom w:val="0"/>
      <w:divBdr>
        <w:top w:val="none" w:sz="0" w:space="0" w:color="auto"/>
        <w:left w:val="none" w:sz="0" w:space="0" w:color="auto"/>
        <w:bottom w:val="none" w:sz="0" w:space="0" w:color="auto"/>
        <w:right w:val="none" w:sz="0" w:space="0" w:color="auto"/>
      </w:divBdr>
    </w:div>
    <w:div w:id="181883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1231</Words>
  <Characters>6776</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Jeannot</dc:creator>
  <cp:keywords/>
  <dc:description/>
  <cp:lastModifiedBy>Emmanuel Jeannot</cp:lastModifiedBy>
  <cp:revision>4</cp:revision>
  <cp:lastPrinted>2025-05-29T03:27:00Z</cp:lastPrinted>
  <dcterms:created xsi:type="dcterms:W3CDTF">2025-05-28T23:44:00Z</dcterms:created>
  <dcterms:modified xsi:type="dcterms:W3CDTF">2025-05-29T08:00:00Z</dcterms:modified>
</cp:coreProperties>
</file>