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056" w:rsidRDefault="001F4056" w:rsidP="001F4056">
      <w:pPr>
        <w:rPr>
          <w:i/>
        </w:rPr>
      </w:pPr>
      <w:r>
        <w:rPr>
          <w:i/>
        </w:rPr>
        <w:t xml:space="preserve">The following is a modification of content from 5.3 in </w:t>
      </w:r>
      <w:proofErr w:type="spellStart"/>
      <w:r>
        <w:rPr>
          <w:i/>
        </w:rPr>
        <w:t>OpenStax</w:t>
      </w:r>
      <w:proofErr w:type="spellEnd"/>
      <w:r>
        <w:rPr>
          <w:i/>
        </w:rPr>
        <w:t xml:space="preserve"> Chemistry </w:t>
      </w:r>
    </w:p>
    <w:p w:rsidR="001F4056" w:rsidRDefault="001F4056" w:rsidP="001F4056">
      <w:pPr>
        <w:rPr>
          <w:i/>
        </w:rPr>
      </w:pPr>
    </w:p>
    <w:p w:rsidR="001F4056" w:rsidRPr="00174DDE" w:rsidRDefault="001F4056" w:rsidP="001F4056">
      <w:r w:rsidRPr="00174DDE">
        <w:t>Chemists and biologists often use enthalpy (H) to describe the thermodynamics of chemical and physical processes instead of the energy (E) and you may have seen this quantity before. Both enthalpy and energy have the same units and the words are similar so students often confuse these two ideas. However, while enthalpy and energy are related, enthalpy is not the same thing as energy. Energy is the ability to do work. Enthalpy is defined as the sum of a system’s microscopic or internal energy (E) and the mathematical product of its pressure (P) and volume (V):</w:t>
      </w:r>
    </w:p>
    <w:p w:rsidR="001F4056" w:rsidRDefault="001F4056" w:rsidP="001F4056">
      <w:pPr>
        <w:jc w:val="center"/>
        <w:rPr>
          <w:i/>
          <w:sz w:val="26"/>
          <w:szCs w:val="26"/>
        </w:rPr>
      </w:pPr>
      <m:oMathPara>
        <m:oMath>
          <m:r>
            <w:rPr>
              <w:rFonts w:ascii="Cambria Math" w:hAnsi="Cambria Math"/>
              <w:sz w:val="26"/>
              <w:szCs w:val="26"/>
            </w:rPr>
            <m:t>H=E+PV</m:t>
          </m:r>
        </m:oMath>
      </m:oMathPara>
    </w:p>
    <w:p w:rsidR="001F4056" w:rsidRDefault="001F4056" w:rsidP="001F4056">
      <w:r>
        <w:t xml:space="preserve">Enthalpy values for specific substances cannot be measured directly; only enthalpy </w:t>
      </w:r>
      <w:r>
        <w:rPr>
          <w:i/>
        </w:rPr>
        <w:t>changes</w:t>
      </w:r>
      <w:r>
        <w:t xml:space="preserve"> for chemical or physical processes can be determined. For processes that take place at constant pressure (a common condition for many chemical and biological processes </w:t>
      </w:r>
      <w:proofErr w:type="gramStart"/>
      <w:r>
        <w:t>due to the fact that</w:t>
      </w:r>
      <w:proofErr w:type="gramEnd"/>
      <w:r>
        <w:t xml:space="preserve"> they are open to the air which is at a constant pressure of 1 </w:t>
      </w:r>
      <w:proofErr w:type="spellStart"/>
      <w:r>
        <w:t>atm</w:t>
      </w:r>
      <w:proofErr w:type="spellEnd"/>
      <w:r>
        <w:t>), the enthalpy change (Δ</w:t>
      </w:r>
      <w:r>
        <w:rPr>
          <w:i/>
        </w:rPr>
        <w:t>H</w:t>
      </w:r>
      <w:r>
        <w:t>) is:</w:t>
      </w:r>
    </w:p>
    <w:p w:rsidR="001F4056" w:rsidRDefault="001F4056" w:rsidP="001F4056">
      <w:pPr>
        <w:jc w:val="center"/>
        <w:rPr>
          <w:i/>
          <w:sz w:val="26"/>
          <w:szCs w:val="26"/>
        </w:rPr>
      </w:pPr>
      <m:oMathPara>
        <m:oMath>
          <m:r>
            <w:rPr>
              <w:rFonts w:ascii="Cambria Math" w:hAnsi="Cambria Math"/>
              <w:sz w:val="26"/>
              <w:szCs w:val="26"/>
            </w:rPr>
            <m:t>ΔH=ΔU+PΔV</m:t>
          </m:r>
        </m:oMath>
      </m:oMathPara>
    </w:p>
    <w:p w:rsidR="001F4056" w:rsidRDefault="001F4056" w:rsidP="001F4056">
      <w:r>
        <w:t xml:space="preserve">Recall from the chapter on work that the mathematical product </w:t>
      </w:r>
      <w:r>
        <w:rPr>
          <w:i/>
        </w:rPr>
        <w:t>P</w:t>
      </w:r>
      <w:r>
        <w:t>Δ</w:t>
      </w:r>
      <w:r>
        <w:rPr>
          <w:i/>
        </w:rPr>
        <w:t>V</w:t>
      </w:r>
      <w:r>
        <w:t xml:space="preserve"> represents work (</w:t>
      </w:r>
      <w:r>
        <w:rPr>
          <w:i/>
        </w:rPr>
        <w:t>W</w:t>
      </w:r>
      <w:r w:rsidR="00A905EB">
        <w:t xml:space="preserve">). If I compress the </w:t>
      </w:r>
      <w:r>
        <w:t xml:space="preserve">gas in </w:t>
      </w:r>
      <w:r w:rsidR="00A905EB">
        <w:t>Figure 1</w:t>
      </w:r>
      <w:bookmarkStart w:id="0" w:name="_GoBack"/>
      <w:bookmarkEnd w:id="0"/>
      <w:r>
        <w:t>, we see that the work is positive (the applied force is in the same direction as displacement of the piston) and energy is flowing into the system. However, the volume of the gas is shrinking. This example illustrates the general concept that the arithmetic signs of Δ</w:t>
      </w:r>
      <w:r>
        <w:rPr>
          <w:i/>
        </w:rPr>
        <w:t>V</w:t>
      </w:r>
      <w:r>
        <w:t xml:space="preserve"> and </w:t>
      </w:r>
      <w:r>
        <w:rPr>
          <w:i/>
        </w:rPr>
        <w:t>w</w:t>
      </w:r>
      <w:r>
        <w:t xml:space="preserve"> will always be opposite:</w:t>
      </w:r>
    </w:p>
    <w:p w:rsidR="001F4056" w:rsidRDefault="001F4056" w:rsidP="001F4056">
      <w:pPr>
        <w:jc w:val="center"/>
        <w:rPr>
          <w:i/>
          <w:sz w:val="26"/>
          <w:szCs w:val="26"/>
        </w:rPr>
      </w:pPr>
      <m:oMathPara>
        <m:oMath>
          <m:r>
            <w:rPr>
              <w:rFonts w:ascii="Cambria Math" w:hAnsi="Cambria Math"/>
              <w:sz w:val="26"/>
              <w:szCs w:val="26"/>
            </w:rPr>
            <m:t>PΔV</m:t>
          </m:r>
          <m:r>
            <w:rPr>
              <w:rFonts w:ascii="Cambria Math" w:eastAsia="Arial Unicode MS" w:hAnsi="Cambria Math" w:cs="Arial Unicode MS"/>
              <w:sz w:val="26"/>
              <w:szCs w:val="26"/>
            </w:rPr>
            <m:t>=-</m:t>
          </m:r>
          <m:r>
            <w:rPr>
              <w:rFonts w:ascii="Cambria Math" w:hAnsi="Cambria Math"/>
              <w:sz w:val="26"/>
              <w:szCs w:val="26"/>
            </w:rPr>
            <m:t>W</m:t>
          </m:r>
        </m:oMath>
      </m:oMathPara>
    </w:p>
    <w:p w:rsidR="001F4056" w:rsidRDefault="001F4056" w:rsidP="001F4056">
      <w:pPr>
        <w:jc w:val="center"/>
      </w:pPr>
      <w:r>
        <w:rPr>
          <w:noProof/>
        </w:rPr>
        <w:drawing>
          <wp:inline distT="0" distB="0" distL="0" distR="0">
            <wp:extent cx="5135880" cy="2636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5880" cy="2636520"/>
                    </a:xfrm>
                    <a:prstGeom prst="rect">
                      <a:avLst/>
                    </a:prstGeom>
                    <a:noFill/>
                    <a:ln>
                      <a:noFill/>
                    </a:ln>
                  </pic:spPr>
                </pic:pic>
              </a:graphicData>
            </a:graphic>
          </wp:inline>
        </w:drawing>
      </w:r>
    </w:p>
    <w:p w:rsidR="001F4056" w:rsidRDefault="001F4056" w:rsidP="001F4056">
      <w:pPr>
        <w:jc w:val="center"/>
        <w:rPr>
          <w:i/>
        </w:rPr>
      </w:pPr>
      <w:r>
        <w:rPr>
          <w:b/>
        </w:rPr>
        <w:t xml:space="preserve">FIGURE: </w:t>
      </w:r>
      <w:r>
        <w:rPr>
          <w:i/>
        </w:rPr>
        <w:t xml:space="preserve">A gas being compressed by a piston. The force on the piston is in the same direction as the piston’s motion implying positive work. However, the volume of the gas is shrinking meaning </w:t>
      </w:r>
      <m:oMath>
        <m:r>
          <w:rPr>
            <w:rFonts w:ascii="Cambria Math" w:hAnsi="Cambria Math"/>
          </w:rPr>
          <m:t>ΔV&lt;0</m:t>
        </m:r>
      </m:oMath>
    </w:p>
    <w:p w:rsidR="001F4056" w:rsidRDefault="001F4056" w:rsidP="001F4056">
      <w:pPr>
        <w:jc w:val="center"/>
        <w:rPr>
          <w:i/>
        </w:rPr>
      </w:pPr>
    </w:p>
    <w:p w:rsidR="001F4056" w:rsidRDefault="001F4056" w:rsidP="001F4056">
      <w:r>
        <w:t>Substituting this equation and the definition of internal energy into the enthalpy-change equation yields:</w:t>
      </w:r>
    </w:p>
    <w:p w:rsidR="001F4056" w:rsidRDefault="001F4056" w:rsidP="001F4056">
      <w:pPr>
        <w:jc w:val="center"/>
        <w:rPr>
          <w:i/>
          <w:sz w:val="26"/>
          <w:szCs w:val="26"/>
        </w:rPr>
      </w:pPr>
      <m:oMathPara>
        <m:oMath>
          <m:r>
            <w:rPr>
              <w:rFonts w:ascii="Cambria Math" w:hAnsi="Cambria Math"/>
              <w:sz w:val="26"/>
              <w:szCs w:val="26"/>
            </w:rPr>
            <m:t>ΔH=ΔE+PΔV</m:t>
          </m:r>
        </m:oMath>
      </m:oMathPara>
    </w:p>
    <w:p w:rsidR="001F4056" w:rsidRDefault="001F4056" w:rsidP="001F4056">
      <w:pPr>
        <w:jc w:val="center"/>
        <w:rPr>
          <w:i/>
          <w:sz w:val="26"/>
          <w:szCs w:val="26"/>
        </w:rPr>
      </w:pPr>
      <m:oMathPara>
        <m:oMath>
          <m:r>
            <w:rPr>
              <w:rFonts w:ascii="Cambria Math" w:hAnsi="Cambria Math"/>
              <w:sz w:val="26"/>
              <w:szCs w:val="26"/>
            </w:rPr>
            <m:t>ΔH=(Q</m:t>
          </m:r>
          <m:r>
            <w:rPr>
              <w:rFonts w:ascii="Cambria Math" w:hAnsi="Cambria Math"/>
              <w:sz w:val="26"/>
              <w:szCs w:val="26"/>
              <w:vertAlign w:val="subscript"/>
            </w:rPr>
            <m:t>P</m:t>
          </m:r>
          <m:r>
            <w:rPr>
              <w:rFonts w:ascii="Cambria Math" w:hAnsi="Cambria Math"/>
              <w:sz w:val="26"/>
              <w:szCs w:val="26"/>
            </w:rPr>
            <m:t>+W)</m:t>
          </m:r>
          <m:r>
            <w:rPr>
              <w:rFonts w:ascii="Cambria Math" w:eastAsia="Arial Unicode MS" w:hAnsi="Cambria Math" w:cs="Arial Unicode MS"/>
              <w:sz w:val="26"/>
              <w:szCs w:val="26"/>
            </w:rPr>
            <m:t>-</m:t>
          </m:r>
          <m:r>
            <w:rPr>
              <w:rFonts w:ascii="Cambria Math" w:hAnsi="Cambria Math"/>
              <w:sz w:val="26"/>
              <w:szCs w:val="26"/>
            </w:rPr>
            <m:t>W</m:t>
          </m:r>
        </m:oMath>
      </m:oMathPara>
    </w:p>
    <w:p w:rsidR="001F4056" w:rsidRDefault="001F4056" w:rsidP="001F4056">
      <w:pPr>
        <w:jc w:val="center"/>
        <w:rPr>
          <w:sz w:val="18"/>
          <w:szCs w:val="18"/>
          <w:vertAlign w:val="subscript"/>
        </w:rPr>
      </w:pPr>
      <m:oMathPara>
        <m:oMath>
          <m:r>
            <w:rPr>
              <w:rFonts w:ascii="Cambria Math" w:hAnsi="Cambria Math"/>
              <w:sz w:val="26"/>
              <w:szCs w:val="26"/>
            </w:rPr>
            <w:lastRenderedPageBreak/>
            <m:t>ΔH=Q</m:t>
          </m:r>
          <m:r>
            <w:rPr>
              <w:rFonts w:ascii="Cambria Math" w:hAnsi="Cambria Math"/>
              <w:sz w:val="26"/>
              <w:szCs w:val="26"/>
              <w:vertAlign w:val="subscript"/>
            </w:rPr>
            <m:t>P</m:t>
          </m:r>
        </m:oMath>
      </m:oMathPara>
    </w:p>
    <w:p w:rsidR="001F4056" w:rsidRDefault="001F4056" w:rsidP="001F4056">
      <w:pPr>
        <w:rPr>
          <w:b/>
        </w:rPr>
      </w:pPr>
      <w:r>
        <w:t xml:space="preserve">where </w:t>
      </w:r>
      <w:r>
        <w:rPr>
          <w:i/>
        </w:rPr>
        <w:t>Q</w:t>
      </w:r>
      <w:r>
        <w:rPr>
          <w:i/>
          <w:vertAlign w:val="subscript"/>
        </w:rPr>
        <w:t>P</w:t>
      </w:r>
      <w:r>
        <w:t xml:space="preserve"> is the heat of reaction under conditions of constant pressure. </w:t>
      </w:r>
      <w:r>
        <w:rPr>
          <w:b/>
        </w:rPr>
        <w:t>Thus, if a chemical, biological, or physical process is carried out at constant pressure with the only work done caused by expansion or contraction, then the heat flow (</w:t>
      </w:r>
      <w:r>
        <w:rPr>
          <w:b/>
          <w:i/>
        </w:rPr>
        <w:t>Q</w:t>
      </w:r>
      <w:r>
        <w:rPr>
          <w:b/>
          <w:i/>
          <w:vertAlign w:val="subscript"/>
        </w:rPr>
        <w:t>P</w:t>
      </w:r>
      <w:r>
        <w:rPr>
          <w:b/>
        </w:rPr>
        <w:t>) and enthalpy change (Δ</w:t>
      </w:r>
      <w:r>
        <w:rPr>
          <w:b/>
          <w:i/>
        </w:rPr>
        <w:t>H</w:t>
      </w:r>
      <w:r>
        <w:rPr>
          <w:b/>
        </w:rPr>
        <w:t xml:space="preserve">) for the process are equal. </w:t>
      </w:r>
    </w:p>
    <w:p w:rsidR="001F4056" w:rsidRDefault="001F4056" w:rsidP="001F4056"/>
    <w:p w:rsidR="001F4056" w:rsidRDefault="001F4056" w:rsidP="001F4056">
      <w:r>
        <w:t>This condition, while it may seem restrictive, covers a significant fraction of the situations you will encounter. For example, the heat given off when you operate a Bunsen burner is equal to the enthalpy change of the methane combustion reaction that takes place, since it occurs at the essentially constant pressure of the atmosphere. On the other hand, the heat produced by a reaction measured in a bomb calorimeter (</w:t>
      </w:r>
      <w:hyperlink r:id="rId5" w:anchor="CNX_Chem_05_02_BombCalor" w:history="1">
        <w:r>
          <w:rPr>
            <w:rStyle w:val="Hyperlink"/>
            <w:color w:val="1155CC"/>
          </w:rPr>
          <w:t>[link]</w:t>
        </w:r>
      </w:hyperlink>
      <w:r>
        <w:t xml:space="preserve">) is not equal to </w:t>
      </w:r>
      <m:oMath>
        <m:r>
          <w:rPr>
            <w:rFonts w:ascii="Cambria Math" w:hAnsi="Cambria Math"/>
          </w:rPr>
          <m:t xml:space="preserve">ΔH </m:t>
        </m:r>
      </m:oMath>
      <w:r>
        <w:t xml:space="preserve">because the closed, constant-volume metal container prevents expansion work from occurring. Chemists and biologists usually perform experiments under normal atmospheric conditions, which results in a constant external pressure making </w:t>
      </w:r>
      <m:oMath>
        <m:r>
          <w:rPr>
            <w:rFonts w:ascii="Cambria Math" w:hAnsi="Cambria Math"/>
          </w:rPr>
          <m:t>Q = ΔH</m:t>
        </m:r>
      </m:oMath>
      <w:r>
        <w:t>.</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CB"/>
    <w:rsid w:val="000507CB"/>
    <w:rsid w:val="00174DDE"/>
    <w:rsid w:val="001F4056"/>
    <w:rsid w:val="003875B2"/>
    <w:rsid w:val="00761222"/>
    <w:rsid w:val="008A19FC"/>
    <w:rsid w:val="00A905EB"/>
    <w:rsid w:val="00FB6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1444"/>
  <w15:chartTrackingRefBased/>
  <w15:docId w15:val="{C6D2759A-E9FF-49E1-92C3-89E68A51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056"/>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nx.org/contents/85abf193-2bd2-4908-8563-90b8a7ac8df6@9.480:0d364b67-be96-44fc-bee5-a368a42c2c82@1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cp:revision>
  <dcterms:created xsi:type="dcterms:W3CDTF">2017-08-22T19:16:00Z</dcterms:created>
  <dcterms:modified xsi:type="dcterms:W3CDTF">2017-08-22T19:57:00Z</dcterms:modified>
</cp:coreProperties>
</file>