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Facts and Figures</w:t>
      </w:r>
    </w:p>
    <w:p>
      <w:r>
        <w:t>UNGA81 | Available session records | Analysis date 2026-09-28. AI mentions: 5/6 (83.3%) reviewed Member State addresses; 6 obtained and 0 unresolved. Unobserved country-years are not counted as negatives.</w:t>
      </w:r>
    </w:p>
    <w:p>
      <w:r>
        <w:drawing>
          <wp:inline xmlns:a="http://schemas.openxmlformats.org/drawingml/2006/main" xmlns:pic="http://schemas.openxmlformats.org/drawingml/2006/picture">
            <wp:extent cx="6442400" cy="2102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102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UN regional group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AI mentions n/N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Uncertain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Fixture region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5/6 (83.3%)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</w:tbl>
    <w:p>
      <w:r>
        <w:t>Synthetic workflow fixture. This is not a finding about any actual Member State. [annual:1]</w:t>
      </w:r>
    </w:p>
    <w:p>
      <w:r>
        <w:rPr>
          <w:sz w:val="18"/>
        </w:rPr>
        <w:t>Source changes: official English records (2017-2024); user-accepted automatic transcripts (2025-2026). Squares mark partial years. Regional mapping fixed at 25 September 2026.</w:t>
      </w:r>
    </w:p>
    <w:p>
      <w:r>
        <w:br w:type="page"/>
      </w:r>
    </w:p>
    <w:p>
      <w:pPr>
        <w:pStyle w:val="Heading1"/>
      </w:pPr>
      <w:r>
        <w:t>Themes</w:t>
      </w:r>
    </w:p>
    <w:p>
      <w:r>
        <w:drawing>
          <wp:inline xmlns:a="http://schemas.openxmlformats.org/drawingml/2006/main" xmlns:pic="http://schemas.openxmlformats.org/drawingml/2006/picture">
            <wp:extent cx="6442400" cy="24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preval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4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Synthetic workflow fixture. This is not a finding about any actual Member State. [annual:1]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2"/>
        <w:gridCol w:w="3382"/>
        <w:gridCol w:w="3382"/>
      </w:tblGrid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Reviewed expression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Countries n/N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First observed</w:t>
            </w:r>
          </w:p>
        </w:tc>
      </w:tr>
      <w:tr>
        <w:trPr>
          <w:cantSplit/>
        </w:trPr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artificial intelligence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5/5</w:t>
            </w:r>
          </w:p>
        </w:tc>
        <w:tc>
          <w:tcPr>
            <w:tcW w:type="dxa" w:w="3382"/>
          </w:tcPr>
          <w:p>
            <w:pPr>
              <w:spacing w:after="40"/>
            </w:pPr>
            <w:r>
              <w:rPr>
                <w:sz w:val="18"/>
              </w:rPr>
              <w:t>2017</w:t>
            </w:r>
          </w:p>
        </w:tc>
      </w:tr>
    </w:tbl>
    <w:p>
      <w:r>
        <w:rPr>
          <w:sz w:val="18"/>
        </w:rPr>
        <w:t>Theme denominator: AI-positive countries with completed thematic review. Multiple labels may sum above 100%. Co-mention is within the same country-year, not evidence of alignment or a sentence-level link. Full tables include baselines and matched-country comparisons.</w:t>
      </w:r>
    </w:p>
    <w:p>
      <w:r>
        <w:br w:type="page"/>
      </w:r>
    </w:p>
    <w:p>
      <w:pPr>
        <w:pStyle w:val="Heading1"/>
      </w:pPr>
      <w:r>
        <w:t>Role of UN</w:t>
      </w:r>
    </w:p>
    <w:p>
      <w:r>
        <w:t>Synthetic workflow fixture. This is not a finding about any actual Member State. [annual:1]</w:t>
      </w:r>
    </w:p>
    <w:p>
      <w:r>
        <w:rPr>
          <w:sz w:val="18"/>
        </w:rPr>
        <w:t>Mention, welcome, support, request and commitment are separate. Only explicit UN requests enter UN-request counts. Country positions derive from speech evidence; background proposals and drafts do not enter those counts. Full stance and model tables accompany this report.</w:t>
      </w:r>
    </w:p>
    <w:p>
      <w:r>
        <w:br w:type="page"/>
      </w:r>
    </w:p>
    <w:p>
      <w:pPr>
        <w:pStyle w:val="Heading1"/>
      </w:pPr>
      <w:r>
        <w:t>Implications</w:t>
      </w:r>
    </w:p>
    <w:p>
      <w:r>
        <w:t>Synthetic workflow fixture. This is not a finding about any actual Member State. [annual:1]</w:t>
      </w:r>
    </w:p>
    <w:p>
      <w:r>
        <w:t>SPMU: Inspect the accompanying synthetic evidence ledger. This recommendation exists only to exercise the reporting layout. [annual:1]</w:t>
      </w:r>
    </w:p>
    <w:p>
      <w:r>
        <w:t>SPMU: Inspect the accompanying synthetic evidence ledger. This recommendation exists only to exercise the reporting layout. [annual:1]</w:t>
      </w:r>
    </w:p>
    <w:p>
      <w:r>
        <w:t>SPMU: Inspect the accompanying synthetic evidence ledger. This recommendation exists only to exercise the reporting layout. [annual:1]</w:t>
      </w:r>
    </w:p>
    <w:p>
      <w:r>
        <w:rPr>
          <w:sz w:val="18"/>
        </w:rPr>
        <w:t>Review limits: two automated text/classification passes with exact-quote checks; no full audio or human verification. Unresolved AI speeches: 0; incomplete thematic cases: 0. The 2025 VCT prepared-only paragraph remains unresolved if its source note persists. Participation rosters are not independently reconciled. Recommendations are analytical proposals.</w:t>
      </w:r>
    </w:p>
    <w:sectPr w:rsidR="00FC693F" w:rsidRPr="0006063C" w:rsidSect="00034616">
      <w:footerReference w:type="default" r:id="rId11"/>
      <w:pgSz w:w="11906" w:h="16838"/>
      <w:pgMar w:top="749" w:right="880" w:bottom="749" w:left="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UNGA AI Strategic Review | Automated source-grounded analysis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