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542F" w14:textId="77777777" w:rsidR="00C5068D" w:rsidRDefault="001A363B" w:rsidP="00C5068D">
      <w:pPr>
        <w:pStyle w:val="KeinLeerraum"/>
      </w:pPr>
      <w:r>
        <w:rPr>
          <w:noProof/>
          <w:lang w:val="en-US" w:eastAsia="ja-JP"/>
        </w:rPr>
        <w:drawing>
          <wp:anchor distT="0" distB="0" distL="114300" distR="114300" simplePos="0" relativeHeight="251658240" behindDoc="0" locked="0" layoutInCell="1" allowOverlap="1" wp14:anchorId="204B0849" wp14:editId="4EED3ECA">
            <wp:simplePos x="0" y="0"/>
            <wp:positionH relativeFrom="column">
              <wp:posOffset>4703445</wp:posOffset>
            </wp:positionH>
            <wp:positionV relativeFrom="paragraph">
              <wp:posOffset>0</wp:posOffset>
            </wp:positionV>
            <wp:extent cx="1543050" cy="882650"/>
            <wp:effectExtent l="0" t="0" r="0" b="0"/>
            <wp:wrapSquare wrapText="bothSides"/>
            <wp:docPr id="2" name="Picture 4" descr="C:\Users\Trevor &amp; Tami\AppData\Local\Microsoft\Windows\Temporary Internet Files\Content.Outlook\IPUGOR91\INSARAG New Logo w Tag Line 20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Trevor &amp; Tami\AppData\Local\Microsoft\Windows\Temporary Internet Files\Content.Outlook\IPUGOR91\INSARAG New Logo w Tag Line 2010.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88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53A02" w14:textId="77777777" w:rsidR="00C5068D" w:rsidRDefault="00C5068D" w:rsidP="00C5068D">
      <w:pPr>
        <w:pStyle w:val="KeinLeerraum"/>
      </w:pPr>
    </w:p>
    <w:p w14:paraId="682C7C93" w14:textId="79665004" w:rsidR="00680E46" w:rsidRDefault="00680E46" w:rsidP="002B6619">
      <w:pPr>
        <w:pStyle w:val="KeinLeerraum"/>
        <w:jc w:val="center"/>
      </w:pPr>
    </w:p>
    <w:p w14:paraId="65189EA4" w14:textId="77777777" w:rsidR="00937CF1" w:rsidRDefault="00937CF1" w:rsidP="002B6619">
      <w:pPr>
        <w:pStyle w:val="KeinLeerraum"/>
        <w:jc w:val="center"/>
      </w:pPr>
    </w:p>
    <w:p w14:paraId="4E168D5D" w14:textId="77777777" w:rsidR="00680E46" w:rsidRDefault="00680E46" w:rsidP="00C5068D">
      <w:pPr>
        <w:pStyle w:val="KeinLeerraum"/>
      </w:pPr>
    </w:p>
    <w:p w14:paraId="0BFADA5C" w14:textId="77777777" w:rsidR="003F3254" w:rsidRDefault="003F3254" w:rsidP="00C5068D">
      <w:pPr>
        <w:pStyle w:val="KeinLeerraum"/>
      </w:pPr>
    </w:p>
    <w:p w14:paraId="3ABF3BA3" w14:textId="68794058" w:rsidR="00C5068D" w:rsidRDefault="00C5068D" w:rsidP="00C5068D">
      <w:pPr>
        <w:pStyle w:val="KeinLeerraum"/>
      </w:pPr>
      <w:r>
        <w:t>TO:</w:t>
      </w:r>
      <w:r>
        <w:tab/>
      </w:r>
      <w:r>
        <w:tab/>
      </w:r>
      <w:r w:rsidR="002B6619">
        <w:t>Jesper Lund</w:t>
      </w:r>
      <w:r>
        <w:t>,</w:t>
      </w:r>
      <w:r w:rsidR="004E27A2">
        <w:t xml:space="preserve"> Winston Chang</w:t>
      </w:r>
      <w:r>
        <w:tab/>
      </w:r>
    </w:p>
    <w:p w14:paraId="555FBF0B" w14:textId="77777777" w:rsidR="00C5068D" w:rsidRDefault="00C5068D" w:rsidP="00C5068D">
      <w:pPr>
        <w:pStyle w:val="KeinLeerraum"/>
      </w:pPr>
      <w:r>
        <w:tab/>
      </w:r>
      <w:r>
        <w:tab/>
        <w:t>INSARAG Secretariat</w:t>
      </w:r>
    </w:p>
    <w:p w14:paraId="5530F93D" w14:textId="77777777" w:rsidR="00C5068D" w:rsidRDefault="00C5068D" w:rsidP="00C5068D">
      <w:pPr>
        <w:pStyle w:val="KeinLeerraum"/>
      </w:pPr>
    </w:p>
    <w:p w14:paraId="52D676BF" w14:textId="0EA65D38" w:rsidR="00C5068D" w:rsidRDefault="00C5068D" w:rsidP="00C5068D">
      <w:pPr>
        <w:pStyle w:val="KeinLeerraum"/>
      </w:pPr>
      <w:r>
        <w:t>FROM:</w:t>
      </w:r>
      <w:r>
        <w:tab/>
      </w:r>
      <w:r>
        <w:tab/>
      </w:r>
      <w:r w:rsidR="007268EB">
        <w:t>Peter Wolf</w:t>
      </w:r>
      <w:r w:rsidR="004E27A2">
        <w:t>f</w:t>
      </w:r>
    </w:p>
    <w:p w14:paraId="08965236" w14:textId="4CBDC471" w:rsidR="00C5068D" w:rsidRDefault="00C5068D" w:rsidP="00C5068D">
      <w:pPr>
        <w:pStyle w:val="KeinLeerraum"/>
      </w:pPr>
      <w:r>
        <w:tab/>
      </w:r>
      <w:r>
        <w:tab/>
        <w:t xml:space="preserve">INSARAG </w:t>
      </w:r>
      <w:r w:rsidR="007268EB">
        <w:t>IM</w:t>
      </w:r>
      <w:r>
        <w:t>WG Chair</w:t>
      </w:r>
    </w:p>
    <w:p w14:paraId="09DC8669" w14:textId="77777777" w:rsidR="00C5068D" w:rsidRDefault="00C5068D" w:rsidP="00C5068D">
      <w:pPr>
        <w:pStyle w:val="KeinLeerraum"/>
      </w:pPr>
    </w:p>
    <w:p w14:paraId="6C1D24BC" w14:textId="15DA6A00" w:rsidR="00C5068D" w:rsidRDefault="00C5068D" w:rsidP="00C5068D">
      <w:pPr>
        <w:pStyle w:val="KeinLeerraum"/>
      </w:pPr>
      <w:r>
        <w:t>SUBJECT:</w:t>
      </w:r>
      <w:r>
        <w:tab/>
      </w:r>
      <w:r w:rsidR="00A21122">
        <w:t>IM</w:t>
      </w:r>
      <w:r>
        <w:t>WG Meetin</w:t>
      </w:r>
      <w:r w:rsidR="00A254C5">
        <w:t xml:space="preserve">g </w:t>
      </w:r>
      <w:r w:rsidR="005C27EA">
        <w:t>and Netherlands IER</w:t>
      </w:r>
    </w:p>
    <w:p w14:paraId="35174226" w14:textId="77777777" w:rsidR="00C5068D" w:rsidRDefault="00C5068D" w:rsidP="00C5068D">
      <w:pPr>
        <w:pStyle w:val="KeinLeerraum"/>
      </w:pPr>
    </w:p>
    <w:p w14:paraId="58517D67" w14:textId="5518C821" w:rsidR="00C5068D" w:rsidRDefault="00C5068D" w:rsidP="00C5068D">
      <w:pPr>
        <w:pStyle w:val="KeinLeerraum"/>
      </w:pPr>
      <w:r>
        <w:t>DATE:</w:t>
      </w:r>
      <w:r>
        <w:tab/>
      </w:r>
      <w:r>
        <w:tab/>
      </w:r>
      <w:r w:rsidR="00A21122">
        <w:t>23</w:t>
      </w:r>
      <w:r w:rsidR="007A60A0">
        <w:t xml:space="preserve"> – </w:t>
      </w:r>
      <w:r w:rsidR="00A21122">
        <w:t>2</w:t>
      </w:r>
      <w:r w:rsidR="005C27EA">
        <w:t>7</w:t>
      </w:r>
      <w:r w:rsidR="007A60A0">
        <w:t xml:space="preserve"> </w:t>
      </w:r>
      <w:r w:rsidR="00A21122">
        <w:t xml:space="preserve">January </w:t>
      </w:r>
      <w:r w:rsidR="00504306">
        <w:t>201</w:t>
      </w:r>
      <w:r w:rsidR="00A21122">
        <w:t>9</w:t>
      </w:r>
      <w:r>
        <w:t xml:space="preserve"> </w:t>
      </w:r>
    </w:p>
    <w:p w14:paraId="4944AAD7" w14:textId="77777777" w:rsidR="00D41867" w:rsidRDefault="00D41867" w:rsidP="00D41867">
      <w:pPr>
        <w:pStyle w:val="KeinLeerraum"/>
        <w:jc w:val="center"/>
      </w:pPr>
    </w:p>
    <w:p w14:paraId="6C27BEAE" w14:textId="77777777" w:rsidR="00BA456B" w:rsidRDefault="00BA456B" w:rsidP="00D41867">
      <w:pPr>
        <w:pStyle w:val="KeinLeerraum"/>
      </w:pPr>
    </w:p>
    <w:p w14:paraId="6A5ACC73" w14:textId="512AD453" w:rsidR="005A4C9B" w:rsidRDefault="005A4C9B" w:rsidP="00D41867">
      <w:pPr>
        <w:pStyle w:val="KeinLeerraum"/>
      </w:pPr>
      <w:r>
        <w:t xml:space="preserve">The INSARAG </w:t>
      </w:r>
      <w:r w:rsidR="005C27EA">
        <w:t>Information Management</w:t>
      </w:r>
      <w:r w:rsidR="00E136C2">
        <w:t xml:space="preserve"> </w:t>
      </w:r>
      <w:r>
        <w:t>Working Group (</w:t>
      </w:r>
      <w:r w:rsidR="00E136C2">
        <w:t>IM</w:t>
      </w:r>
      <w:r>
        <w:t xml:space="preserve">WG) met in </w:t>
      </w:r>
      <w:proofErr w:type="spellStart"/>
      <w:r w:rsidR="00E136C2">
        <w:t>Tinglev</w:t>
      </w:r>
      <w:proofErr w:type="spellEnd"/>
      <w:r w:rsidR="007A60A0">
        <w:t xml:space="preserve">, </w:t>
      </w:r>
      <w:r w:rsidR="00E136C2">
        <w:t>Denmark</w:t>
      </w:r>
      <w:r w:rsidR="007A60A0">
        <w:t xml:space="preserve"> in </w:t>
      </w:r>
      <w:r w:rsidR="00E136C2">
        <w:t>January 2019</w:t>
      </w:r>
      <w:r>
        <w:t>. Members attending were:</w:t>
      </w:r>
    </w:p>
    <w:p w14:paraId="38624985" w14:textId="77777777" w:rsidR="00504306" w:rsidRDefault="00504306" w:rsidP="00D41867">
      <w:pPr>
        <w:pStyle w:val="KeinLeerraum"/>
      </w:pPr>
    </w:p>
    <w:p w14:paraId="2DAB42D1" w14:textId="3BE2BE44" w:rsidR="005A4C9B" w:rsidRDefault="00050020" w:rsidP="00504306">
      <w:pPr>
        <w:pStyle w:val="KeinLeerraum"/>
        <w:numPr>
          <w:ilvl w:val="0"/>
          <w:numId w:val="2"/>
        </w:numPr>
      </w:pPr>
      <w:r>
        <w:t>Peter Wolf</w:t>
      </w:r>
      <w:r w:rsidR="004E27A2">
        <w:t xml:space="preserve">f </w:t>
      </w:r>
      <w:r w:rsidR="00504306">
        <w:t xml:space="preserve">– Chair </w:t>
      </w:r>
      <w:r w:rsidR="005A4C9B">
        <w:t>(</w:t>
      </w:r>
      <w:r>
        <w:t>Germany</w:t>
      </w:r>
      <w:r w:rsidR="005A4C9B">
        <w:t>)</w:t>
      </w:r>
    </w:p>
    <w:p w14:paraId="75858E6D" w14:textId="4F9890D5" w:rsidR="008B74C2" w:rsidRDefault="00050020" w:rsidP="00050020">
      <w:pPr>
        <w:pStyle w:val="KeinLeerraum"/>
        <w:numPr>
          <w:ilvl w:val="0"/>
          <w:numId w:val="2"/>
        </w:numPr>
      </w:pPr>
      <w:r>
        <w:t>Jeff Maunder (New Zealand)</w:t>
      </w:r>
    </w:p>
    <w:p w14:paraId="7EC78AB4" w14:textId="0D1F13CF" w:rsidR="00582FBD" w:rsidRDefault="00050020" w:rsidP="00B51FE6">
      <w:pPr>
        <w:pStyle w:val="KeinLeerraum"/>
        <w:numPr>
          <w:ilvl w:val="0"/>
          <w:numId w:val="2"/>
        </w:numPr>
      </w:pPr>
      <w:r>
        <w:t>Aidan Elliot (New Zealand)</w:t>
      </w:r>
    </w:p>
    <w:p w14:paraId="7C47AAC3" w14:textId="44076C8D" w:rsidR="00A6095C" w:rsidRDefault="00A6095C" w:rsidP="00B51FE6">
      <w:pPr>
        <w:pStyle w:val="KeinLeerraum"/>
        <w:numPr>
          <w:ilvl w:val="0"/>
          <w:numId w:val="2"/>
        </w:numPr>
      </w:pPr>
      <w:r>
        <w:t>Martijn Boer (Netherlands)</w:t>
      </w:r>
    </w:p>
    <w:p w14:paraId="47E12315" w14:textId="6B77B8F2" w:rsidR="00A45C91" w:rsidRDefault="00050020" w:rsidP="00A45C91">
      <w:pPr>
        <w:pStyle w:val="KeinLeerraum"/>
        <w:numPr>
          <w:ilvl w:val="0"/>
          <w:numId w:val="2"/>
        </w:numPr>
      </w:pPr>
      <w:r>
        <w:t>John Morrison (USA)</w:t>
      </w:r>
    </w:p>
    <w:p w14:paraId="244F8D74" w14:textId="6FF03653" w:rsidR="00BE5DA5" w:rsidRDefault="00BE5DA5" w:rsidP="00A45C91">
      <w:pPr>
        <w:pStyle w:val="KeinLeerraum"/>
        <w:numPr>
          <w:ilvl w:val="0"/>
          <w:numId w:val="2"/>
        </w:numPr>
      </w:pPr>
      <w:r>
        <w:t>Rob Norman (United Kingdom)</w:t>
      </w:r>
    </w:p>
    <w:p w14:paraId="68E4D6B4" w14:textId="048EC1CE" w:rsidR="00BE5DA5" w:rsidRDefault="00050020" w:rsidP="00BE5DA5">
      <w:pPr>
        <w:pStyle w:val="KeinLeerraum"/>
        <w:numPr>
          <w:ilvl w:val="0"/>
          <w:numId w:val="2"/>
        </w:numPr>
      </w:pPr>
      <w:r>
        <w:t>KT Chew (Singapore)</w:t>
      </w:r>
    </w:p>
    <w:p w14:paraId="73ADADA9" w14:textId="3BAD944D" w:rsidR="00050020" w:rsidRDefault="00050020" w:rsidP="00BE5DA5">
      <w:pPr>
        <w:pStyle w:val="KeinLeerraum"/>
        <w:numPr>
          <w:ilvl w:val="0"/>
          <w:numId w:val="2"/>
        </w:numPr>
      </w:pPr>
      <w:r>
        <w:t xml:space="preserve">Dewey Perks (USA) Training Working Group </w:t>
      </w:r>
      <w:r w:rsidR="00A6095C">
        <w:t>Chair/Representative</w:t>
      </w:r>
    </w:p>
    <w:p w14:paraId="243E7C6F" w14:textId="7E4A543E" w:rsidR="00050020" w:rsidRDefault="00050020" w:rsidP="00875BFD">
      <w:pPr>
        <w:pStyle w:val="KeinLeerraum"/>
        <w:rPr>
          <w:rFonts w:cs="Calibri"/>
        </w:rPr>
      </w:pPr>
    </w:p>
    <w:p w14:paraId="7B59A24C" w14:textId="7B5AE554" w:rsidR="00D41867" w:rsidRDefault="00D41867" w:rsidP="00D41867">
      <w:pPr>
        <w:pStyle w:val="KeinLeerraum"/>
      </w:pPr>
      <w:r>
        <w:t xml:space="preserve">Welcoming remarks </w:t>
      </w:r>
      <w:r w:rsidR="005A4C9B">
        <w:t xml:space="preserve">were made </w:t>
      </w:r>
      <w:r>
        <w:t>by</w:t>
      </w:r>
      <w:r w:rsidR="00504306">
        <w:t xml:space="preserve"> </w:t>
      </w:r>
      <w:r w:rsidR="008548F0">
        <w:t xml:space="preserve">Peter Wolff </w:t>
      </w:r>
      <w:r w:rsidR="005A4C9B">
        <w:t>explain</w:t>
      </w:r>
      <w:r w:rsidR="00336D5B">
        <w:t>ing</w:t>
      </w:r>
      <w:r w:rsidR="005A4C9B">
        <w:t xml:space="preserve"> the ground rules for </w:t>
      </w:r>
      <w:r w:rsidR="00AD58E7">
        <w:t>t</w:t>
      </w:r>
      <w:r w:rsidR="005A4C9B">
        <w:t>he meeting and welcom</w:t>
      </w:r>
      <w:r w:rsidR="002F3BE9">
        <w:t>ing</w:t>
      </w:r>
      <w:r w:rsidR="005A4C9B">
        <w:t xml:space="preserve"> all participants on behalf of </w:t>
      </w:r>
      <w:r w:rsidR="00AD58E7">
        <w:t xml:space="preserve">Manuel </w:t>
      </w:r>
      <w:proofErr w:type="spellStart"/>
      <w:r w:rsidR="00AD58E7">
        <w:t>Bessler</w:t>
      </w:r>
      <w:proofErr w:type="spellEnd"/>
      <w:r w:rsidR="00AD58E7">
        <w:t>, INSARAG Global Chair</w:t>
      </w:r>
      <w:r w:rsidR="005A4C9B">
        <w:t>.</w:t>
      </w:r>
    </w:p>
    <w:p w14:paraId="5A5174DE" w14:textId="01FD4890" w:rsidR="00C22EA2" w:rsidRDefault="00C22EA2" w:rsidP="00D41867">
      <w:pPr>
        <w:pStyle w:val="KeinLeerraum"/>
      </w:pPr>
    </w:p>
    <w:p w14:paraId="2994E223" w14:textId="032DFDBC" w:rsidR="00F87628" w:rsidRPr="00D60A6D" w:rsidRDefault="00A6095C" w:rsidP="001D6A30">
      <w:pPr>
        <w:pStyle w:val="KeinLeerraum"/>
        <w:rPr>
          <w:rStyle w:val="apple-converted-space"/>
          <w:rFonts w:cs="Calibri"/>
        </w:rPr>
      </w:pPr>
      <w:r>
        <w:rPr>
          <w:rStyle w:val="apple-converted-space"/>
          <w:rFonts w:cs="Calibri"/>
        </w:rPr>
        <w:t>Denmark</w:t>
      </w:r>
      <w:r w:rsidR="00F87628" w:rsidRPr="00D60A6D">
        <w:rPr>
          <w:rStyle w:val="apple-converted-space"/>
          <w:rFonts w:cs="Calibri"/>
        </w:rPr>
        <w:t xml:space="preserve"> Meeting hours</w:t>
      </w:r>
    </w:p>
    <w:p w14:paraId="4BA5EA0E" w14:textId="166BD3B7" w:rsidR="00F87628" w:rsidRDefault="008548F0" w:rsidP="00F87628">
      <w:pPr>
        <w:pStyle w:val="KeinLeerraum"/>
        <w:numPr>
          <w:ilvl w:val="1"/>
          <w:numId w:val="2"/>
        </w:numPr>
        <w:rPr>
          <w:rStyle w:val="apple-converted-space"/>
          <w:rFonts w:cs="Calibri"/>
        </w:rPr>
      </w:pPr>
      <w:r>
        <w:rPr>
          <w:rStyle w:val="apple-converted-space"/>
          <w:rFonts w:cs="Calibri"/>
        </w:rPr>
        <w:t>Wednesday January</w:t>
      </w:r>
      <w:r w:rsidR="00F87628" w:rsidRPr="00D60A6D">
        <w:rPr>
          <w:rStyle w:val="apple-converted-space"/>
          <w:rFonts w:cs="Calibri"/>
        </w:rPr>
        <w:t xml:space="preserve"> </w:t>
      </w:r>
      <w:r>
        <w:rPr>
          <w:rStyle w:val="apple-converted-space"/>
          <w:rFonts w:cs="Calibri"/>
        </w:rPr>
        <w:t>23rd</w:t>
      </w:r>
      <w:r w:rsidR="00F87628" w:rsidRPr="00D60A6D">
        <w:rPr>
          <w:rStyle w:val="apple-converted-space"/>
          <w:rFonts w:cs="Calibri"/>
        </w:rPr>
        <w:t xml:space="preserve"> – </w:t>
      </w:r>
      <w:bookmarkStart w:id="0" w:name="_Hlk536004057"/>
      <w:r w:rsidR="00F87628" w:rsidRPr="00D60A6D">
        <w:rPr>
          <w:rStyle w:val="apple-converted-space"/>
          <w:rFonts w:cs="Calibri"/>
        </w:rPr>
        <w:t>Meeting 08:30 to 18:00</w:t>
      </w:r>
      <w:bookmarkEnd w:id="0"/>
    </w:p>
    <w:p w14:paraId="41A5D2B9" w14:textId="3025641A" w:rsidR="00A6095C" w:rsidRDefault="00A6095C" w:rsidP="00F87628">
      <w:pPr>
        <w:pStyle w:val="KeinLeerraum"/>
        <w:numPr>
          <w:ilvl w:val="1"/>
          <w:numId w:val="2"/>
        </w:numPr>
        <w:rPr>
          <w:rStyle w:val="apple-converted-space"/>
          <w:rFonts w:cs="Calibri"/>
        </w:rPr>
      </w:pPr>
      <w:r>
        <w:rPr>
          <w:rStyle w:val="apple-converted-space"/>
          <w:rFonts w:cs="Calibri"/>
        </w:rPr>
        <w:t>Thursday</w:t>
      </w:r>
      <w:r w:rsidR="00E136C2">
        <w:rPr>
          <w:rStyle w:val="apple-converted-space"/>
          <w:rFonts w:cs="Calibri"/>
        </w:rPr>
        <w:t xml:space="preserve"> January 24</w:t>
      </w:r>
      <w:r w:rsidR="00E136C2" w:rsidRPr="00E136C2">
        <w:rPr>
          <w:rStyle w:val="apple-converted-space"/>
          <w:rFonts w:cs="Calibri"/>
          <w:vertAlign w:val="superscript"/>
        </w:rPr>
        <w:t>th</w:t>
      </w:r>
      <w:r w:rsidR="00E136C2">
        <w:rPr>
          <w:rStyle w:val="apple-converted-space"/>
          <w:rFonts w:cs="Calibri"/>
        </w:rPr>
        <w:t xml:space="preserve"> - </w:t>
      </w:r>
      <w:r w:rsidR="00E136C2" w:rsidRPr="00E136C2">
        <w:rPr>
          <w:rStyle w:val="apple-converted-space"/>
          <w:rFonts w:cs="Calibri"/>
        </w:rPr>
        <w:t>Meeting 08:30 to 18:00</w:t>
      </w:r>
    </w:p>
    <w:p w14:paraId="257E14A3" w14:textId="2B0C2F69" w:rsidR="00E136C2" w:rsidRPr="00D60A6D" w:rsidRDefault="00E136C2" w:rsidP="00F87628">
      <w:pPr>
        <w:pStyle w:val="KeinLeerraum"/>
        <w:numPr>
          <w:ilvl w:val="1"/>
          <w:numId w:val="2"/>
        </w:numPr>
        <w:rPr>
          <w:rStyle w:val="apple-converted-space"/>
          <w:rFonts w:cs="Calibri"/>
        </w:rPr>
      </w:pPr>
      <w:r>
        <w:rPr>
          <w:rStyle w:val="apple-converted-space"/>
          <w:rFonts w:cs="Calibri"/>
        </w:rPr>
        <w:t>Friday January 25</w:t>
      </w:r>
      <w:r w:rsidRPr="00E136C2">
        <w:rPr>
          <w:rStyle w:val="apple-converted-space"/>
          <w:rFonts w:cs="Calibri"/>
          <w:vertAlign w:val="superscript"/>
        </w:rPr>
        <w:t>th</w:t>
      </w:r>
      <w:r>
        <w:rPr>
          <w:rStyle w:val="apple-converted-space"/>
          <w:rFonts w:cs="Calibri"/>
        </w:rPr>
        <w:t xml:space="preserve"> to Sunday 27</w:t>
      </w:r>
      <w:r w:rsidRPr="00E136C2">
        <w:rPr>
          <w:rStyle w:val="apple-converted-space"/>
          <w:rFonts w:cs="Calibri"/>
          <w:vertAlign w:val="superscript"/>
        </w:rPr>
        <w:t>th</w:t>
      </w:r>
      <w:r>
        <w:rPr>
          <w:rStyle w:val="apple-converted-space"/>
          <w:rFonts w:cs="Calibri"/>
        </w:rPr>
        <w:t xml:space="preserve"> </w:t>
      </w:r>
      <w:proofErr w:type="gramStart"/>
      <w:r>
        <w:rPr>
          <w:rStyle w:val="apple-converted-space"/>
          <w:rFonts w:cs="Calibri"/>
        </w:rPr>
        <w:t>January  -</w:t>
      </w:r>
      <w:proofErr w:type="gramEnd"/>
      <w:r>
        <w:rPr>
          <w:rStyle w:val="apple-converted-space"/>
          <w:rFonts w:cs="Calibri"/>
        </w:rPr>
        <w:t xml:space="preserve"> Netherlands INSARAG Reclassification and MODEX Exercise</w:t>
      </w:r>
    </w:p>
    <w:p w14:paraId="209869B4" w14:textId="77777777" w:rsidR="00F87628" w:rsidRDefault="00F87628" w:rsidP="00D41867">
      <w:pPr>
        <w:pStyle w:val="KeinLeerraum"/>
      </w:pPr>
    </w:p>
    <w:p w14:paraId="6CD55C9B" w14:textId="4E90B5B9" w:rsidR="00C22EA2" w:rsidRDefault="00C22EA2" w:rsidP="00D41867">
      <w:pPr>
        <w:pStyle w:val="KeinLeerraum"/>
      </w:pPr>
      <w:r>
        <w:t>Initial discussions regarding;</w:t>
      </w:r>
    </w:p>
    <w:p w14:paraId="23DB0E27" w14:textId="0A22841F" w:rsidR="008548F0" w:rsidRDefault="008548F0" w:rsidP="00992795">
      <w:pPr>
        <w:pStyle w:val="KeinLeerraum"/>
        <w:numPr>
          <w:ilvl w:val="0"/>
          <w:numId w:val="9"/>
        </w:numPr>
      </w:pPr>
      <w:r>
        <w:t xml:space="preserve">Review of the 2018 work conducted to implement a Data Collection Tool </w:t>
      </w:r>
      <w:r w:rsidR="00A6095C">
        <w:t>using</w:t>
      </w:r>
      <w:r>
        <w:t xml:space="preserve"> KOBO</w:t>
      </w:r>
    </w:p>
    <w:p w14:paraId="490648B8" w14:textId="6201FE4D" w:rsidR="00992795" w:rsidRDefault="008548F0" w:rsidP="00992795">
      <w:pPr>
        <w:pStyle w:val="KeinLeerraum"/>
        <w:numPr>
          <w:ilvl w:val="0"/>
          <w:numId w:val="9"/>
        </w:numPr>
      </w:pPr>
      <w:r>
        <w:t xml:space="preserve">The ongoing implementation of ESRI </w:t>
      </w:r>
      <w:r w:rsidR="00A21122">
        <w:t xml:space="preserve">into </w:t>
      </w:r>
      <w:r>
        <w:t xml:space="preserve">INSARAG </w:t>
      </w:r>
      <w:r w:rsidR="00A21122">
        <w:t>Guidelines</w:t>
      </w:r>
    </w:p>
    <w:p w14:paraId="730E72E6" w14:textId="46E264FE" w:rsidR="008548F0" w:rsidRDefault="008548F0" w:rsidP="008548F0">
      <w:pPr>
        <w:pStyle w:val="KeinLeerraum"/>
        <w:numPr>
          <w:ilvl w:val="1"/>
          <w:numId w:val="9"/>
        </w:numPr>
      </w:pPr>
      <w:r>
        <w:t>Forms that require updating in line with ESRI, which will minimise the content and volume of forms</w:t>
      </w:r>
    </w:p>
    <w:p w14:paraId="76493904" w14:textId="706BF920" w:rsidR="008548F0" w:rsidRDefault="008548F0" w:rsidP="008548F0">
      <w:pPr>
        <w:pStyle w:val="KeinLeerraum"/>
        <w:numPr>
          <w:ilvl w:val="1"/>
          <w:numId w:val="9"/>
        </w:numPr>
      </w:pPr>
      <w:r>
        <w:t>The ability to document these ongoing updates within the Guidelines, as part of Annex A</w:t>
      </w:r>
    </w:p>
    <w:p w14:paraId="1D436486" w14:textId="3F1A5F2D" w:rsidR="0001244B" w:rsidRDefault="008548F0" w:rsidP="0001244B">
      <w:pPr>
        <w:pStyle w:val="KeinLeerraum"/>
        <w:numPr>
          <w:ilvl w:val="0"/>
          <w:numId w:val="36"/>
        </w:numPr>
      </w:pPr>
      <w:r>
        <w:t xml:space="preserve">Upcoming Training events </w:t>
      </w:r>
      <w:r w:rsidR="0001244B">
        <w:t>in 2019</w:t>
      </w:r>
    </w:p>
    <w:p w14:paraId="25DE9C4B" w14:textId="41415D79" w:rsidR="00050020" w:rsidRDefault="00050020" w:rsidP="00050020">
      <w:pPr>
        <w:pStyle w:val="Listenabsatz"/>
        <w:numPr>
          <w:ilvl w:val="1"/>
          <w:numId w:val="36"/>
        </w:numPr>
      </w:pPr>
      <w:r w:rsidRPr="00050020">
        <w:t>UC Train the Trainer in the USA in February</w:t>
      </w:r>
    </w:p>
    <w:p w14:paraId="504ED906" w14:textId="4883B7A6" w:rsidR="00050020" w:rsidRDefault="008548F0" w:rsidP="00050020">
      <w:pPr>
        <w:pStyle w:val="Listenabsatz"/>
        <w:numPr>
          <w:ilvl w:val="1"/>
          <w:numId w:val="36"/>
        </w:numPr>
      </w:pPr>
      <w:r>
        <w:t>Tun</w:t>
      </w:r>
      <w:r w:rsidR="0001244B">
        <w:t>isia -DCT / UCC in April</w:t>
      </w:r>
      <w:r w:rsidR="00502D91">
        <w:t xml:space="preserve"> currently, but Peter Wolf has asked for this to be postponed</w:t>
      </w:r>
    </w:p>
    <w:p w14:paraId="48B8B4BD" w14:textId="0AF03810" w:rsidR="00BF40FF" w:rsidRDefault="0001244B" w:rsidP="00AC7823">
      <w:pPr>
        <w:pStyle w:val="Listenabsatz"/>
        <w:numPr>
          <w:ilvl w:val="1"/>
          <w:numId w:val="36"/>
        </w:numPr>
      </w:pPr>
      <w:r>
        <w:t xml:space="preserve">Armenia (with Swiss Rescue) – </w:t>
      </w:r>
      <w:proofErr w:type="gramStart"/>
      <w:r>
        <w:t>2 week</w:t>
      </w:r>
      <w:proofErr w:type="gramEnd"/>
      <w:r>
        <w:t xml:space="preserve"> training with 2 days of input on DCT</w:t>
      </w:r>
    </w:p>
    <w:p w14:paraId="70FAA09B" w14:textId="3432A022" w:rsidR="00BF40FF" w:rsidRDefault="00BF40FF" w:rsidP="00BF40FF">
      <w:pPr>
        <w:pStyle w:val="Listenabsatz"/>
        <w:numPr>
          <w:ilvl w:val="1"/>
          <w:numId w:val="9"/>
        </w:numPr>
      </w:pPr>
      <w:r w:rsidRPr="0096776A">
        <w:lastRenderedPageBreak/>
        <w:t xml:space="preserve">New Zealand - </w:t>
      </w:r>
      <w:proofErr w:type="spellStart"/>
      <w:r w:rsidRPr="0096776A">
        <w:t>ToT</w:t>
      </w:r>
      <w:proofErr w:type="spellEnd"/>
      <w:r w:rsidRPr="0096776A">
        <w:t xml:space="preserve"> M</w:t>
      </w:r>
      <w:r w:rsidR="00AC7823">
        <w:t>ay</w:t>
      </w:r>
    </w:p>
    <w:p w14:paraId="59F0545E" w14:textId="687638C4" w:rsidR="00BF40FF" w:rsidRDefault="00BF40FF" w:rsidP="00BF40FF">
      <w:pPr>
        <w:pStyle w:val="Listenabsatz"/>
        <w:numPr>
          <w:ilvl w:val="1"/>
          <w:numId w:val="9"/>
        </w:numPr>
      </w:pPr>
      <w:r w:rsidRPr="0096776A">
        <w:t xml:space="preserve">Sicily </w:t>
      </w:r>
      <w:r w:rsidR="004E27A2">
        <w:t>–</w:t>
      </w:r>
      <w:r w:rsidRPr="0096776A">
        <w:t xml:space="preserve"> April</w:t>
      </w:r>
      <w:r w:rsidR="004E27A2">
        <w:t xml:space="preserve"> (THW</w:t>
      </w:r>
      <w:proofErr w:type="gramStart"/>
      <w:r w:rsidR="004E27A2">
        <w:t xml:space="preserve">) </w:t>
      </w:r>
      <w:r w:rsidRPr="0096776A">
        <w:t>?</w:t>
      </w:r>
      <w:proofErr w:type="gramEnd"/>
    </w:p>
    <w:p w14:paraId="73E16FF0" w14:textId="77777777" w:rsidR="00BF40FF" w:rsidRDefault="00BF40FF" w:rsidP="00BF40FF">
      <w:pPr>
        <w:pStyle w:val="Listenabsatz"/>
        <w:numPr>
          <w:ilvl w:val="1"/>
          <w:numId w:val="9"/>
        </w:numPr>
      </w:pPr>
      <w:r>
        <w:t xml:space="preserve">Russian Federation - </w:t>
      </w:r>
      <w:proofErr w:type="spellStart"/>
      <w:r>
        <w:t>ToT</w:t>
      </w:r>
      <w:proofErr w:type="spellEnd"/>
      <w:r>
        <w:t xml:space="preserve"> July </w:t>
      </w:r>
    </w:p>
    <w:p w14:paraId="65687681" w14:textId="49CDED4B" w:rsidR="00BF40FF" w:rsidRDefault="00BF40FF" w:rsidP="00AC7823">
      <w:pPr>
        <w:pStyle w:val="Listenabsatz"/>
        <w:numPr>
          <w:ilvl w:val="1"/>
          <w:numId w:val="9"/>
        </w:numPr>
      </w:pPr>
      <w:r>
        <w:t xml:space="preserve">Netherlands – </w:t>
      </w:r>
      <w:proofErr w:type="spellStart"/>
      <w:r>
        <w:t>ToT</w:t>
      </w:r>
      <w:proofErr w:type="spellEnd"/>
      <w:r>
        <w:t xml:space="preserve"> November</w:t>
      </w:r>
    </w:p>
    <w:p w14:paraId="7C153C12" w14:textId="77777777" w:rsidR="00AC7823" w:rsidRDefault="00AC7823" w:rsidP="00AC7823">
      <w:pPr>
        <w:pStyle w:val="Listenabsatz"/>
        <w:ind w:left="1440"/>
      </w:pPr>
    </w:p>
    <w:p w14:paraId="7219290D" w14:textId="4B583C23" w:rsidR="00A6095C" w:rsidRDefault="00F51126" w:rsidP="00A6095C">
      <w:pPr>
        <w:pStyle w:val="Listenabsatz"/>
        <w:numPr>
          <w:ilvl w:val="0"/>
          <w:numId w:val="36"/>
        </w:numPr>
      </w:pPr>
      <w:r>
        <w:t xml:space="preserve">Upcoming Classifications </w:t>
      </w:r>
      <w:r w:rsidR="006A6BDC">
        <w:t xml:space="preserve">potentially </w:t>
      </w:r>
      <w:r>
        <w:t>requiring ESRI input</w:t>
      </w:r>
    </w:p>
    <w:p w14:paraId="452EAF26" w14:textId="184DD9A2" w:rsidR="00F51126" w:rsidRDefault="00F51126" w:rsidP="00F51126">
      <w:pPr>
        <w:pStyle w:val="Listenabsatz"/>
        <w:numPr>
          <w:ilvl w:val="1"/>
          <w:numId w:val="36"/>
        </w:numPr>
      </w:pPr>
      <w:r>
        <w:t>China IER in</w:t>
      </w:r>
      <w:r w:rsidR="004E27A2">
        <w:t xml:space="preserve"> October</w:t>
      </w:r>
    </w:p>
    <w:p w14:paraId="6BF6DABD" w14:textId="5A5F07A6" w:rsidR="006A6BDC" w:rsidRDefault="006A6BDC" w:rsidP="00F51126">
      <w:pPr>
        <w:pStyle w:val="Listenabsatz"/>
        <w:numPr>
          <w:ilvl w:val="1"/>
          <w:numId w:val="36"/>
        </w:numPr>
      </w:pPr>
      <w:r>
        <w:t>Indonesia (Medium) In November</w:t>
      </w:r>
    </w:p>
    <w:p w14:paraId="6EA3E5E7" w14:textId="76273D13" w:rsidR="006A6BDC" w:rsidRDefault="006A6BDC" w:rsidP="00F51126">
      <w:pPr>
        <w:pStyle w:val="Listenabsatz"/>
        <w:numPr>
          <w:ilvl w:val="1"/>
          <w:numId w:val="36"/>
        </w:numPr>
      </w:pPr>
      <w:r>
        <w:t xml:space="preserve">Turkey (Light IEC) September </w:t>
      </w:r>
    </w:p>
    <w:p w14:paraId="13542359" w14:textId="74DF557E" w:rsidR="00F51126" w:rsidRDefault="004E27A2" w:rsidP="00F51126">
      <w:pPr>
        <w:pStyle w:val="Listenabsatz"/>
        <w:numPr>
          <w:ilvl w:val="1"/>
          <w:numId w:val="36"/>
        </w:numPr>
      </w:pPr>
      <w:r>
        <w:t xml:space="preserve">Pakistan </w:t>
      </w:r>
      <w:proofErr w:type="gramStart"/>
      <w:r>
        <w:t>IEC ?</w:t>
      </w:r>
      <w:proofErr w:type="gramEnd"/>
      <w:r w:rsidR="00F51126">
        <w:t xml:space="preserve"> </w:t>
      </w:r>
    </w:p>
    <w:p w14:paraId="0062FBA5" w14:textId="77777777" w:rsidR="00A21122" w:rsidRDefault="00A21122" w:rsidP="00A21122">
      <w:pPr>
        <w:pStyle w:val="Listenabsatz"/>
        <w:ind w:left="1440"/>
      </w:pPr>
    </w:p>
    <w:p w14:paraId="05B9286A" w14:textId="1B9E534B" w:rsidR="00A21122" w:rsidRDefault="00F51126" w:rsidP="005D1453">
      <w:pPr>
        <w:pStyle w:val="Listenabsatz"/>
        <w:numPr>
          <w:ilvl w:val="0"/>
          <w:numId w:val="37"/>
        </w:numPr>
      </w:pPr>
      <w:bookmarkStart w:id="1" w:name="_Hlk536020142"/>
      <w:r>
        <w:t>Funding for the ESRI Licenses</w:t>
      </w:r>
      <w:bookmarkEnd w:id="1"/>
    </w:p>
    <w:p w14:paraId="29181281" w14:textId="64AF8353" w:rsidR="00A21122" w:rsidRDefault="00A21122" w:rsidP="00A21122">
      <w:pPr>
        <w:pStyle w:val="Listenabsatz"/>
        <w:numPr>
          <w:ilvl w:val="0"/>
          <w:numId w:val="37"/>
        </w:numPr>
      </w:pPr>
      <w:r>
        <w:t>Next Phases- 3 / 4 / 5</w:t>
      </w:r>
    </w:p>
    <w:p w14:paraId="41C27FBD" w14:textId="5F0CA360" w:rsidR="00097C86" w:rsidRDefault="00A21122" w:rsidP="00097C86">
      <w:pPr>
        <w:pStyle w:val="Listenabsatz"/>
        <w:numPr>
          <w:ilvl w:val="0"/>
          <w:numId w:val="37"/>
        </w:numPr>
      </w:pPr>
      <w:r>
        <w:t>Manual System in the event of electronic/Wi-Fi failure</w:t>
      </w:r>
    </w:p>
    <w:p w14:paraId="02E48C25" w14:textId="77777777" w:rsidR="00097C86" w:rsidRDefault="00097C86" w:rsidP="00097C86">
      <w:pPr>
        <w:pStyle w:val="Listenabsatz"/>
      </w:pPr>
    </w:p>
    <w:p w14:paraId="46F0BA45" w14:textId="64E46608" w:rsidR="00DF3B52" w:rsidRDefault="00097C86" w:rsidP="00097C86">
      <w:r>
        <w:t>The meeting undertook a review of the Survey 123 and ESRI system including the UCC dashboard and the information displayed within it</w:t>
      </w:r>
      <w:r w:rsidR="00A21776">
        <w:t>.</w:t>
      </w:r>
    </w:p>
    <w:p w14:paraId="736DC184" w14:textId="77777777" w:rsidR="005D1453" w:rsidRDefault="005D1453" w:rsidP="005D1453">
      <w:pPr>
        <w:pStyle w:val="Listenabsatz"/>
        <w:numPr>
          <w:ilvl w:val="0"/>
          <w:numId w:val="37"/>
        </w:numPr>
      </w:pPr>
      <w:r>
        <w:t>Funding for the ESRI Licenses, which currently is $25K (USD) per year, over 5 years, for all INSARAG teams to have licenses to use the system. (Total $125K over 5 years) This is being facilitated through Eagle Technologies in New Zealand. One option may be that 5 of the member countries involved in the IMWG are able to donate 5K per year to fund initial licensing.</w:t>
      </w:r>
    </w:p>
    <w:p w14:paraId="54A5CE74" w14:textId="77777777" w:rsidR="005D1453" w:rsidRDefault="005D1453" w:rsidP="005D1453">
      <w:pPr>
        <w:pStyle w:val="Listenabsatz"/>
        <w:numPr>
          <w:ilvl w:val="1"/>
          <w:numId w:val="37"/>
        </w:numPr>
      </w:pPr>
      <w:r>
        <w:t>ESRI &gt; OCHA is the desired end state</w:t>
      </w:r>
    </w:p>
    <w:p w14:paraId="77EE0863" w14:textId="77777777" w:rsidR="005D1453" w:rsidRDefault="005D1453" w:rsidP="005D1453">
      <w:pPr>
        <w:pStyle w:val="Listenabsatz"/>
        <w:numPr>
          <w:ilvl w:val="1"/>
          <w:numId w:val="37"/>
        </w:numPr>
      </w:pPr>
      <w:r>
        <w:t xml:space="preserve">ESRI &gt; Eagle Technologies &gt; IMWG is the short-term implementation </w:t>
      </w:r>
    </w:p>
    <w:p w14:paraId="292B345F" w14:textId="77777777" w:rsidR="005D1453" w:rsidRDefault="005D1453" w:rsidP="005D1453">
      <w:pPr>
        <w:pStyle w:val="Listenabsatz"/>
      </w:pPr>
    </w:p>
    <w:p w14:paraId="18F7068A" w14:textId="206C931F" w:rsidR="00B56346" w:rsidRDefault="001B5132" w:rsidP="001B5132">
      <w:pPr>
        <w:pStyle w:val="Listenabsatz"/>
        <w:numPr>
          <w:ilvl w:val="0"/>
          <w:numId w:val="38"/>
        </w:numPr>
      </w:pPr>
      <w:r>
        <w:t xml:space="preserve">An </w:t>
      </w:r>
      <w:r w:rsidR="005D1453">
        <w:t>in-depth</w:t>
      </w:r>
      <w:r>
        <w:t xml:space="preserve"> discussion regarding the use of the dashboard to identify the availability of teams for assignment based upon the classification requirements for Heavy, Medium, and eventually light teams. This could be displayed within the Recon </w:t>
      </w:r>
      <w:r w:rsidR="00737329">
        <w:t>tab and</w:t>
      </w:r>
      <w:r>
        <w:t xml:space="preserve"> would assist in proposing available teams to pending worksites. It was agreed that this would be an improvement to the functionality of the dashboard and would assist in assignment decisions.</w:t>
      </w:r>
    </w:p>
    <w:p w14:paraId="10ED1A2B" w14:textId="78B8CD40" w:rsidR="001B5132" w:rsidRDefault="005D1453" w:rsidP="001B5132">
      <w:pPr>
        <w:pStyle w:val="Listenabsatz"/>
        <w:numPr>
          <w:ilvl w:val="0"/>
          <w:numId w:val="38"/>
        </w:numPr>
      </w:pPr>
      <w:proofErr w:type="gramStart"/>
      <w:r>
        <w:t>A number of</w:t>
      </w:r>
      <w:proofErr w:type="gramEnd"/>
      <w:r>
        <w:t xml:space="preserve"> best practices for data collection including the allocation of log ins, accounts based around individual teams of specific events, quality assurance processes for teams’ submissions (and the timeframe for this) and the use of UN ASIGN as a layer within the mapping system.</w:t>
      </w:r>
    </w:p>
    <w:p w14:paraId="64A70BA8" w14:textId="3BE7828D" w:rsidR="0079133B" w:rsidRDefault="0079133B" w:rsidP="001B5132">
      <w:pPr>
        <w:pStyle w:val="Listenabsatz"/>
        <w:numPr>
          <w:ilvl w:val="0"/>
          <w:numId w:val="38"/>
        </w:numPr>
      </w:pPr>
      <w:r>
        <w:t>Training Materials</w:t>
      </w:r>
    </w:p>
    <w:p w14:paraId="2E804657" w14:textId="77777777" w:rsidR="005D1453" w:rsidRDefault="005D1453" w:rsidP="001B5132">
      <w:pPr>
        <w:pStyle w:val="Listenabsatz"/>
        <w:numPr>
          <w:ilvl w:val="0"/>
          <w:numId w:val="38"/>
        </w:numPr>
      </w:pPr>
    </w:p>
    <w:p w14:paraId="60B4BFDE" w14:textId="77777777" w:rsidR="00981D1B" w:rsidRPr="00981D1B" w:rsidRDefault="00981D1B" w:rsidP="00981D1B">
      <w:pPr>
        <w:pStyle w:val="KeinLeerraum"/>
        <w:ind w:left="360"/>
        <w:rPr>
          <w:u w:val="single"/>
        </w:rPr>
      </w:pPr>
      <w:bookmarkStart w:id="2" w:name="_Hlk536338061"/>
      <w:r w:rsidRPr="00981D1B">
        <w:rPr>
          <w:u w:val="single"/>
        </w:rPr>
        <w:t>24</w:t>
      </w:r>
      <w:r w:rsidRPr="00981D1B">
        <w:rPr>
          <w:u w:val="single"/>
          <w:vertAlign w:val="superscript"/>
        </w:rPr>
        <w:t>th</w:t>
      </w:r>
      <w:r w:rsidRPr="00981D1B">
        <w:rPr>
          <w:u w:val="single"/>
        </w:rPr>
        <w:t xml:space="preserve"> January 2019</w:t>
      </w:r>
    </w:p>
    <w:bookmarkEnd w:id="2"/>
    <w:p w14:paraId="30782D95" w14:textId="52A0DBD5" w:rsidR="00981D1B" w:rsidRDefault="00981D1B" w:rsidP="00981D1B">
      <w:pPr>
        <w:pStyle w:val="KeinLeerraum"/>
        <w:ind w:left="360"/>
      </w:pPr>
      <w:r>
        <w:t xml:space="preserve">Meeting with Dewey Perks suggested the removal of content that is likely to change from Manual </w:t>
      </w:r>
      <w:proofErr w:type="gramStart"/>
      <w:r>
        <w:t>C, and</w:t>
      </w:r>
      <w:proofErr w:type="gramEnd"/>
      <w:r>
        <w:t xml:space="preserve"> placing it within an Annex.</w:t>
      </w:r>
    </w:p>
    <w:p w14:paraId="001E575F" w14:textId="23702C61" w:rsidR="00981D1B" w:rsidRDefault="00981D1B" w:rsidP="00981D1B">
      <w:pPr>
        <w:pStyle w:val="KeinLeerraum"/>
        <w:ind w:left="360"/>
      </w:pPr>
      <w:r>
        <w:t xml:space="preserve">There is a requirement for an agreement to be reached regarding the role of the dedicated coordination teams (UCC), and whether countries would be likely to deploy coordination staff, even if the USAR team were not </w:t>
      </w:r>
      <w:r w:rsidR="00C9704E">
        <w:t>deploying</w:t>
      </w:r>
      <w:r>
        <w:t>.</w:t>
      </w:r>
    </w:p>
    <w:p w14:paraId="21635770" w14:textId="7DB3F259" w:rsidR="00C9704E" w:rsidRDefault="00F550FB" w:rsidP="00981D1B">
      <w:pPr>
        <w:pStyle w:val="KeinLeerraum"/>
        <w:ind w:left="360"/>
      </w:pPr>
      <w:r>
        <w:lastRenderedPageBreak/>
        <w:t>A major consideration</w:t>
      </w:r>
      <w:r w:rsidR="00C9704E">
        <w:t xml:space="preserve"> is the funding for the system and it was suggested that ISG would be a good opportunity to highlight the required commitment over the next 5 years, to ensure the sustainability of the system into the future, when the UN will have addressed funding issues.</w:t>
      </w:r>
    </w:p>
    <w:p w14:paraId="08D3153D" w14:textId="5E20A035" w:rsidR="00C9704E" w:rsidRDefault="00C9704E" w:rsidP="00981D1B">
      <w:pPr>
        <w:pStyle w:val="KeinLeerraum"/>
        <w:ind w:left="360"/>
      </w:pPr>
      <w:r>
        <w:t xml:space="preserve">A conversation regarding the ability to ‘test the system to failure’ discussed the potential developments of </w:t>
      </w:r>
      <w:r w:rsidR="00502D91">
        <w:t xml:space="preserve">ESRI, and increased level of assurance as operators become familiar with the system. </w:t>
      </w:r>
    </w:p>
    <w:p w14:paraId="098971CA" w14:textId="77777777" w:rsidR="00981D1B" w:rsidRDefault="00981D1B" w:rsidP="00981D1B">
      <w:pPr>
        <w:pStyle w:val="KeinLeerraum"/>
        <w:ind w:left="360"/>
      </w:pPr>
    </w:p>
    <w:p w14:paraId="5D2ECA92" w14:textId="79C3927A" w:rsidR="00781F65" w:rsidRDefault="00EC37F0" w:rsidP="00981D1B">
      <w:pPr>
        <w:pStyle w:val="KeinLeerraum"/>
        <w:ind w:left="360"/>
      </w:pPr>
      <w:r>
        <w:t xml:space="preserve">The ESRI system was demonstrated, and further </w:t>
      </w:r>
      <w:r w:rsidR="00781F65">
        <w:t>discussion around content displayed in the dashboard, and information that is currently documented on the VO. A link to the dashboard could be placed on the VO, ensuring that all active teams would have access to the overview of the specific disaster. The system could be used to give a clea</w:t>
      </w:r>
      <w:r w:rsidR="004036C1">
        <w:t>r</w:t>
      </w:r>
      <w:r w:rsidR="00781F65">
        <w:t xml:space="preserve"> crossover point at which information is no longer uploaded directly to </w:t>
      </w:r>
      <w:r w:rsidR="004036C1">
        <w:t>the</w:t>
      </w:r>
      <w:r w:rsidR="00781F65">
        <w:t xml:space="preserve"> VO, but could be viewed through the dashboard; which can be accessed vi a link on the VO.</w:t>
      </w:r>
    </w:p>
    <w:p w14:paraId="09499549" w14:textId="77777777" w:rsidR="00781F65" w:rsidRDefault="00781F65" w:rsidP="00981D1B">
      <w:pPr>
        <w:pStyle w:val="KeinLeerraum"/>
        <w:ind w:left="360"/>
      </w:pPr>
    </w:p>
    <w:p w14:paraId="1CEB31E0" w14:textId="666CC8C5" w:rsidR="00981D1B" w:rsidRDefault="00781F65" w:rsidP="00981D1B">
      <w:pPr>
        <w:pStyle w:val="KeinLeerraum"/>
        <w:ind w:left="360"/>
      </w:pPr>
      <w:r>
        <w:t>The figure shown on the dashboard for ‘Missing’ needs to be considered within the training package</w:t>
      </w:r>
      <w:r w:rsidR="004036C1">
        <w:t>. Initial estimates of missing will be high, and the figure show on the dashboard will reflect this. The missing figures will be rectified, as each of the worksite reports are updated.</w:t>
      </w:r>
    </w:p>
    <w:p w14:paraId="7FD49657" w14:textId="19987F7E" w:rsidR="004036C1" w:rsidRDefault="004036C1" w:rsidP="00981D1B">
      <w:pPr>
        <w:pStyle w:val="KeinLeerraum"/>
        <w:ind w:left="360"/>
      </w:pPr>
    </w:p>
    <w:p w14:paraId="0A5FD03B" w14:textId="4E772916" w:rsidR="004036C1" w:rsidRDefault="004036C1" w:rsidP="00981D1B">
      <w:pPr>
        <w:pStyle w:val="KeinLeerraum"/>
        <w:ind w:left="360"/>
      </w:pPr>
      <w:r>
        <w:t>The UCC needs to consider the aspects of information that are directly managed by them, as opposed to being under the auspices of the OSOCC</w:t>
      </w:r>
    </w:p>
    <w:p w14:paraId="4C701DCA" w14:textId="04339E56" w:rsidR="00CB38B8" w:rsidRDefault="00CB38B8" w:rsidP="00981D1B">
      <w:pPr>
        <w:pStyle w:val="KeinLeerraum"/>
        <w:ind w:left="360"/>
      </w:pPr>
    </w:p>
    <w:p w14:paraId="696A23CB" w14:textId="77777777" w:rsidR="00637232" w:rsidRDefault="00B9243C" w:rsidP="00981D1B">
      <w:pPr>
        <w:pStyle w:val="KeinLeerraum"/>
        <w:ind w:left="360"/>
      </w:pPr>
      <w:r>
        <w:t xml:space="preserve">The rationalisation of the forms will be a steady transition into the digital system. Sector Summary form will come from the dashboard, and the demob form is no longer required. Is the detail on the Team Fact sheet such as the number of cylinders or litres of fuel required, when these items are not provided by the coordination </w:t>
      </w:r>
      <w:proofErr w:type="gramStart"/>
      <w:r>
        <w:t>facilities.</w:t>
      </w:r>
      <w:proofErr w:type="gramEnd"/>
      <w:r>
        <w:t xml:space="preserve"> The figures are never effectively utilised.</w:t>
      </w:r>
      <w:r w:rsidR="00EF1A4F">
        <w:t xml:space="preserve"> </w:t>
      </w:r>
    </w:p>
    <w:p w14:paraId="4B4DF573" w14:textId="6F8EA818" w:rsidR="00CB38B8" w:rsidRDefault="00EF1A4F" w:rsidP="00981D1B">
      <w:pPr>
        <w:pStyle w:val="KeinLeerraum"/>
        <w:ind w:left="360"/>
      </w:pPr>
      <w:r>
        <w:t xml:space="preserve">A programme of change </w:t>
      </w:r>
      <w:r w:rsidR="00637232">
        <w:t>should be demonstrated at the Team Leaders Meeting to review and update the forms</w:t>
      </w:r>
    </w:p>
    <w:p w14:paraId="41CD9424" w14:textId="77777777" w:rsidR="00981D1B" w:rsidRDefault="00981D1B" w:rsidP="00981D1B">
      <w:pPr>
        <w:pStyle w:val="KeinLeerraum"/>
        <w:ind w:left="360"/>
      </w:pPr>
    </w:p>
    <w:p w14:paraId="66DB2E47" w14:textId="4658175A" w:rsidR="00981D1B" w:rsidRDefault="00981D1B" w:rsidP="00981D1B">
      <w:pPr>
        <w:pStyle w:val="KeinLeerraum"/>
        <w:ind w:left="360"/>
      </w:pPr>
      <w:r>
        <w:t>The INSARAG Calendar was reviewed with regards to the number of meetings and exercises</w:t>
      </w:r>
      <w:r>
        <w:rPr>
          <w:rFonts w:cs="Calibri"/>
        </w:rPr>
        <w:t xml:space="preserve"> that would require the attendance of TWG members, or where the work of the group</w:t>
      </w:r>
      <w:r>
        <w:t xml:space="preserve"> may be shared with the wider INSARAG network, </w:t>
      </w:r>
      <w:proofErr w:type="gramStart"/>
      <w:r>
        <w:t>This</w:t>
      </w:r>
      <w:proofErr w:type="gramEnd"/>
      <w:r>
        <w:t xml:space="preserve"> was subsequently used to populate the 2019 TWG workplan </w:t>
      </w:r>
    </w:p>
    <w:p w14:paraId="3DF28452" w14:textId="77777777" w:rsidR="004D3ADA" w:rsidRDefault="004D3ADA" w:rsidP="00981D1B">
      <w:pPr>
        <w:pStyle w:val="KeinLeerraum"/>
        <w:ind w:left="360"/>
        <w:rPr>
          <w:rFonts w:cs="Calibri"/>
          <w:color w:val="FF0000"/>
        </w:rPr>
      </w:pPr>
    </w:p>
    <w:p w14:paraId="3094FAA6" w14:textId="77777777" w:rsidR="004D3ADA" w:rsidRPr="004D3ADA" w:rsidRDefault="004D3ADA" w:rsidP="00981D1B">
      <w:pPr>
        <w:pStyle w:val="KeinLeerraum"/>
        <w:ind w:left="360"/>
        <w:rPr>
          <w:rFonts w:cs="Calibri"/>
        </w:rPr>
      </w:pPr>
      <w:r w:rsidRPr="004D3ADA">
        <w:rPr>
          <w:rFonts w:cs="Calibri"/>
        </w:rPr>
        <w:t>Review of UC Package for potential updates ahead of course delivery in 2019</w:t>
      </w:r>
    </w:p>
    <w:p w14:paraId="731F7BB3" w14:textId="77777777" w:rsidR="004D3ADA" w:rsidRPr="004D3ADA" w:rsidRDefault="004D3ADA" w:rsidP="00981D1B">
      <w:pPr>
        <w:pStyle w:val="KeinLeerraum"/>
        <w:ind w:left="360"/>
        <w:rPr>
          <w:rFonts w:cs="Calibri"/>
        </w:rPr>
      </w:pPr>
      <w:r w:rsidRPr="004D3ADA">
        <w:rPr>
          <w:rFonts w:cs="Calibri"/>
        </w:rPr>
        <w:t>The package was reviewed by session;</w:t>
      </w:r>
    </w:p>
    <w:p w14:paraId="44C28D15" w14:textId="77777777" w:rsidR="004D3ADA" w:rsidRDefault="004D3ADA" w:rsidP="00981D1B">
      <w:pPr>
        <w:pStyle w:val="KeinLeerraum"/>
        <w:ind w:left="360"/>
        <w:rPr>
          <w:rFonts w:cs="Calibri"/>
          <w:color w:val="FF0000"/>
        </w:rPr>
      </w:pPr>
    </w:p>
    <w:p w14:paraId="101ABD22" w14:textId="09F6DA1A" w:rsidR="004D3ADA" w:rsidRDefault="004D3ADA" w:rsidP="00981D1B">
      <w:pPr>
        <w:pStyle w:val="KeinLeerraum"/>
        <w:ind w:left="360"/>
        <w:rPr>
          <w:rFonts w:cs="Calibri"/>
          <w:color w:val="FF0000"/>
        </w:rPr>
      </w:pPr>
      <w:r>
        <w:rPr>
          <w:rFonts w:cs="Calibri"/>
          <w:color w:val="FF0000"/>
        </w:rPr>
        <w:t xml:space="preserve">Session 2 – Course Preview </w:t>
      </w:r>
    </w:p>
    <w:p w14:paraId="3C84C4CB" w14:textId="3AA6F158" w:rsidR="00156590" w:rsidRDefault="004D3ADA" w:rsidP="004D3ADA">
      <w:pPr>
        <w:pStyle w:val="KeinLeerraum"/>
        <w:ind w:left="360" w:firstLine="360"/>
        <w:rPr>
          <w:rFonts w:cs="Calibri"/>
          <w:color w:val="FF0000"/>
        </w:rPr>
      </w:pPr>
      <w:r>
        <w:rPr>
          <w:rFonts w:cs="Calibri"/>
          <w:color w:val="FF0000"/>
        </w:rPr>
        <w:t xml:space="preserve">Slide 17, replace with the dashboard introduction. </w:t>
      </w:r>
      <w:r w:rsidR="00156590" w:rsidRPr="000E3943">
        <w:rPr>
          <w:rFonts w:cs="Calibri"/>
          <w:color w:val="FF0000"/>
        </w:rPr>
        <w:t>How do we capture the bigger picture info from LEMA</w:t>
      </w:r>
      <w:r w:rsidR="000E3943">
        <w:rPr>
          <w:rFonts w:cs="Calibri"/>
          <w:color w:val="FF0000"/>
        </w:rPr>
        <w:t>,</w:t>
      </w:r>
      <w:r>
        <w:rPr>
          <w:rFonts w:cs="Calibri"/>
          <w:color w:val="FF0000"/>
        </w:rPr>
        <w:t xml:space="preserve"> such as safety and security info t</w:t>
      </w:r>
      <w:r w:rsidR="000E3943">
        <w:rPr>
          <w:rFonts w:cs="Calibri"/>
          <w:color w:val="FF0000"/>
        </w:rPr>
        <w:t>hat isn’t captured in the individual worksite reports?</w:t>
      </w:r>
      <w:r>
        <w:rPr>
          <w:rFonts w:cs="Calibri"/>
          <w:color w:val="FF0000"/>
        </w:rPr>
        <w:t xml:space="preserve"> Potentially the VO</w:t>
      </w:r>
      <w:r w:rsidR="00402EAC">
        <w:rPr>
          <w:rFonts w:cs="Calibri"/>
          <w:color w:val="FF0000"/>
        </w:rPr>
        <w:t xml:space="preserve"> or a messaging/chat system for priority messages *Add this to the Assignment Briefing via Survey 123/dashboard</w:t>
      </w:r>
    </w:p>
    <w:p w14:paraId="31859BC1" w14:textId="6DB50C55" w:rsidR="00402EAC" w:rsidRDefault="00402EAC" w:rsidP="00402EAC">
      <w:pPr>
        <w:pStyle w:val="KeinLeerraum"/>
        <w:rPr>
          <w:rFonts w:cs="Calibri"/>
          <w:color w:val="FF0000"/>
        </w:rPr>
      </w:pPr>
    </w:p>
    <w:p w14:paraId="55A7152F" w14:textId="3CF65DC3" w:rsidR="00402EAC" w:rsidRDefault="00402EAC" w:rsidP="00402EAC">
      <w:pPr>
        <w:pStyle w:val="KeinLeerraum"/>
        <w:ind w:left="360"/>
        <w:rPr>
          <w:rFonts w:cs="Calibri"/>
          <w:color w:val="FF0000"/>
        </w:rPr>
      </w:pPr>
      <w:r>
        <w:rPr>
          <w:rFonts w:cs="Calibri"/>
          <w:color w:val="FF0000"/>
        </w:rPr>
        <w:t>Session 5 – Mapping add some of the ESRI mapping content such as sectorisation, base maps and layers</w:t>
      </w:r>
    </w:p>
    <w:p w14:paraId="5277E0A0" w14:textId="5BF12B59" w:rsidR="00402EAC" w:rsidRDefault="00402EAC" w:rsidP="00402EAC">
      <w:pPr>
        <w:pStyle w:val="KeinLeerraum"/>
        <w:ind w:left="360"/>
        <w:rPr>
          <w:rFonts w:cs="Calibri"/>
          <w:color w:val="FF0000"/>
        </w:rPr>
      </w:pPr>
    </w:p>
    <w:p w14:paraId="4E18CB46" w14:textId="31E0CFDD" w:rsidR="00402EAC" w:rsidRDefault="00402EAC" w:rsidP="00402EAC">
      <w:pPr>
        <w:pStyle w:val="KeinLeerraum"/>
        <w:ind w:left="360"/>
        <w:rPr>
          <w:rFonts w:cs="Calibri"/>
          <w:color w:val="FF0000"/>
        </w:rPr>
      </w:pPr>
      <w:r>
        <w:rPr>
          <w:rFonts w:cs="Calibri"/>
          <w:color w:val="FF0000"/>
        </w:rPr>
        <w:t>Session 6 – Coordination</w:t>
      </w:r>
    </w:p>
    <w:p w14:paraId="174D2FF6" w14:textId="04599292" w:rsidR="00402EAC" w:rsidRDefault="00402EAC" w:rsidP="00402EAC">
      <w:pPr>
        <w:pStyle w:val="KeinLeerraum"/>
        <w:ind w:left="360"/>
        <w:rPr>
          <w:rFonts w:cs="Calibri"/>
          <w:color w:val="FF0000"/>
        </w:rPr>
      </w:pPr>
      <w:r>
        <w:rPr>
          <w:rFonts w:cs="Calibri"/>
          <w:color w:val="FF0000"/>
        </w:rPr>
        <w:tab/>
        <w:t>Slide 2 replace references to OMT</w:t>
      </w:r>
    </w:p>
    <w:p w14:paraId="7B5895D2" w14:textId="42C88979" w:rsidR="00402EAC" w:rsidRDefault="00402EAC" w:rsidP="00402EAC">
      <w:pPr>
        <w:pStyle w:val="KeinLeerraum"/>
        <w:ind w:left="360"/>
        <w:rPr>
          <w:rFonts w:cs="Calibri"/>
          <w:color w:val="FF0000"/>
        </w:rPr>
      </w:pPr>
      <w:r>
        <w:rPr>
          <w:rFonts w:cs="Calibri"/>
          <w:color w:val="FF0000"/>
        </w:rPr>
        <w:tab/>
        <w:t>Slide 14 Add monitor dashboard</w:t>
      </w:r>
    </w:p>
    <w:p w14:paraId="224EC9CA" w14:textId="38726812" w:rsidR="001A35A9" w:rsidRDefault="001A35A9" w:rsidP="00402EAC">
      <w:pPr>
        <w:pStyle w:val="KeinLeerraum"/>
        <w:ind w:left="360"/>
        <w:rPr>
          <w:rFonts w:cs="Calibri"/>
          <w:color w:val="FF0000"/>
        </w:rPr>
      </w:pPr>
      <w:r>
        <w:rPr>
          <w:rFonts w:cs="Calibri"/>
          <w:color w:val="FF0000"/>
        </w:rPr>
        <w:tab/>
        <w:t>Slide 23 Introduce Survey 123</w:t>
      </w:r>
    </w:p>
    <w:p w14:paraId="180F5A73" w14:textId="0A3CA55E" w:rsidR="001A35A9" w:rsidRDefault="001A35A9" w:rsidP="001A35A9">
      <w:pPr>
        <w:pStyle w:val="KeinLeerraum"/>
        <w:ind w:left="360" w:firstLine="360"/>
        <w:rPr>
          <w:rFonts w:cs="Calibri"/>
          <w:color w:val="FF0000"/>
        </w:rPr>
      </w:pPr>
      <w:r>
        <w:rPr>
          <w:rFonts w:cs="Calibri"/>
          <w:color w:val="FF0000"/>
        </w:rPr>
        <w:t>Slide 24 Introduce Dashboard in comparison to OMT</w:t>
      </w:r>
    </w:p>
    <w:p w14:paraId="53A0B0E2" w14:textId="6DEE0B22" w:rsidR="001A35A9" w:rsidRDefault="001A35A9" w:rsidP="001967D6">
      <w:pPr>
        <w:pStyle w:val="KeinLeerraum"/>
        <w:ind w:firstLine="360"/>
        <w:rPr>
          <w:rFonts w:cs="Calibri"/>
          <w:color w:val="FF0000"/>
        </w:rPr>
      </w:pPr>
      <w:r>
        <w:rPr>
          <w:rFonts w:cs="Calibri"/>
          <w:color w:val="FF0000"/>
        </w:rPr>
        <w:lastRenderedPageBreak/>
        <w:t xml:space="preserve">Session 7 </w:t>
      </w:r>
    </w:p>
    <w:p w14:paraId="602DFB74" w14:textId="354F5C8B" w:rsidR="001A35A9" w:rsidRDefault="001A35A9" w:rsidP="001A35A9">
      <w:pPr>
        <w:pStyle w:val="KeinLeerraum"/>
        <w:ind w:left="360" w:firstLine="360"/>
        <w:rPr>
          <w:rFonts w:cs="Calibri"/>
          <w:color w:val="FF0000"/>
        </w:rPr>
      </w:pPr>
      <w:r>
        <w:rPr>
          <w:rFonts w:cs="Calibri"/>
          <w:color w:val="FF0000"/>
        </w:rPr>
        <w:t>Slide 7 add dashboard references</w:t>
      </w:r>
    </w:p>
    <w:p w14:paraId="409E20A1" w14:textId="449E9DC7" w:rsidR="001A35A9" w:rsidRDefault="001A35A9" w:rsidP="001A35A9">
      <w:pPr>
        <w:pStyle w:val="KeinLeerraum"/>
        <w:ind w:left="360" w:firstLine="360"/>
        <w:rPr>
          <w:rFonts w:cs="Calibri"/>
          <w:color w:val="FF0000"/>
        </w:rPr>
      </w:pPr>
      <w:r w:rsidRPr="001A35A9">
        <w:rPr>
          <w:rFonts w:cs="Calibri"/>
          <w:color w:val="FF0000"/>
        </w:rPr>
        <w:t xml:space="preserve">Slide </w:t>
      </w:r>
      <w:r>
        <w:rPr>
          <w:rFonts w:cs="Calibri"/>
          <w:color w:val="FF0000"/>
        </w:rPr>
        <w:t xml:space="preserve">8 </w:t>
      </w:r>
      <w:r w:rsidRPr="001A35A9">
        <w:rPr>
          <w:rFonts w:cs="Calibri"/>
          <w:color w:val="FF0000"/>
        </w:rPr>
        <w:t>add dashboard references</w:t>
      </w:r>
      <w:r>
        <w:rPr>
          <w:rFonts w:cs="Calibri"/>
          <w:color w:val="FF0000"/>
        </w:rPr>
        <w:t xml:space="preserve"> to prioritise</w:t>
      </w:r>
    </w:p>
    <w:p w14:paraId="1417C0C0" w14:textId="098789FE" w:rsidR="001967D6" w:rsidRDefault="001967D6" w:rsidP="001967D6">
      <w:pPr>
        <w:pStyle w:val="KeinLeerraum"/>
        <w:ind w:left="720"/>
        <w:rPr>
          <w:rFonts w:cs="Calibri"/>
          <w:color w:val="FF0000"/>
        </w:rPr>
      </w:pPr>
      <w:r>
        <w:rPr>
          <w:rFonts w:cs="Calibri"/>
          <w:color w:val="FF0000"/>
        </w:rPr>
        <w:t xml:space="preserve">Slide 16 use the dashboard instead of the OMT for the activity, ensuring that the </w:t>
      </w:r>
      <w:proofErr w:type="gramStart"/>
      <w:r>
        <w:rPr>
          <w:rFonts w:cs="Calibri"/>
          <w:color w:val="FF0000"/>
        </w:rPr>
        <w:t>amount</w:t>
      </w:r>
      <w:proofErr w:type="gramEnd"/>
      <w:r>
        <w:rPr>
          <w:rFonts w:cs="Calibri"/>
          <w:color w:val="FF0000"/>
        </w:rPr>
        <w:t xml:space="preserve"> of worksites and USAR teams are multiplied by a factor of 4 (number of groups) Dashboard is filtered to display by sector for each group. Add a new slide that talk about the S123 assignment form</w:t>
      </w:r>
    </w:p>
    <w:p w14:paraId="63114325" w14:textId="77777777" w:rsidR="001967D6" w:rsidRDefault="001967D6" w:rsidP="001967D6">
      <w:pPr>
        <w:pStyle w:val="KeinLeerraum"/>
        <w:rPr>
          <w:rFonts w:cs="Calibri"/>
          <w:color w:val="FF0000"/>
        </w:rPr>
      </w:pPr>
    </w:p>
    <w:p w14:paraId="4401EBA3" w14:textId="64A7741D" w:rsidR="001967D6" w:rsidRDefault="007013AC" w:rsidP="001967D6">
      <w:pPr>
        <w:pStyle w:val="KeinLeerraum"/>
        <w:rPr>
          <w:rFonts w:cs="Calibri"/>
          <w:color w:val="FF0000"/>
        </w:rPr>
      </w:pPr>
      <w:r>
        <w:rPr>
          <w:rFonts w:cs="Calibri"/>
          <w:color w:val="FF0000"/>
        </w:rPr>
        <w:t>Jeopardy</w:t>
      </w:r>
    </w:p>
    <w:p w14:paraId="6F0F75AD" w14:textId="000CB82E" w:rsidR="007013AC" w:rsidRDefault="007013AC" w:rsidP="001967D6">
      <w:pPr>
        <w:pStyle w:val="KeinLeerraum"/>
        <w:rPr>
          <w:rFonts w:cs="Calibri"/>
          <w:color w:val="FF0000"/>
        </w:rPr>
      </w:pPr>
      <w:r>
        <w:rPr>
          <w:rFonts w:cs="Calibri"/>
          <w:color w:val="FF0000"/>
        </w:rPr>
        <w:tab/>
        <w:t>Slide 18 Add dashboard in front of references to OMT</w:t>
      </w:r>
    </w:p>
    <w:p w14:paraId="35E8E9B9" w14:textId="08EDB059" w:rsidR="007013AC" w:rsidRDefault="007013AC" w:rsidP="001967D6">
      <w:pPr>
        <w:pStyle w:val="KeinLeerraum"/>
        <w:rPr>
          <w:rFonts w:cs="Calibri"/>
          <w:color w:val="FF0000"/>
        </w:rPr>
      </w:pPr>
      <w:r>
        <w:rPr>
          <w:rFonts w:cs="Calibri"/>
          <w:color w:val="FF0000"/>
        </w:rPr>
        <w:tab/>
        <w:t xml:space="preserve">Slide 22 Remove A to Z Airports reference </w:t>
      </w:r>
    </w:p>
    <w:p w14:paraId="4332E79C" w14:textId="12EC2969" w:rsidR="00F550FB" w:rsidRDefault="00F550FB" w:rsidP="00F550FB">
      <w:pPr>
        <w:rPr>
          <w:rFonts w:cs="Calibri"/>
          <w:color w:val="FF0000"/>
        </w:rPr>
      </w:pPr>
    </w:p>
    <w:p w14:paraId="08FD5D8A" w14:textId="7AFA3A0A" w:rsidR="00F550FB" w:rsidRDefault="00F550FB" w:rsidP="00F550FB"/>
    <w:p w14:paraId="44A609F1" w14:textId="7B654CD2" w:rsidR="00F550FB" w:rsidRDefault="00F550FB" w:rsidP="00F550FB">
      <w:pPr>
        <w:pStyle w:val="KeinLeerraum"/>
        <w:ind w:left="360"/>
        <w:rPr>
          <w:u w:val="single"/>
        </w:rPr>
      </w:pPr>
      <w:r w:rsidRPr="00981D1B">
        <w:rPr>
          <w:u w:val="single"/>
        </w:rPr>
        <w:t>2</w:t>
      </w:r>
      <w:r>
        <w:rPr>
          <w:u w:val="single"/>
        </w:rPr>
        <w:t>5</w:t>
      </w:r>
      <w:r w:rsidRPr="00981D1B">
        <w:rPr>
          <w:u w:val="single"/>
          <w:vertAlign w:val="superscript"/>
        </w:rPr>
        <w:t>th</w:t>
      </w:r>
      <w:r w:rsidRPr="00981D1B">
        <w:rPr>
          <w:u w:val="single"/>
        </w:rPr>
        <w:t xml:space="preserve"> January 2019</w:t>
      </w:r>
    </w:p>
    <w:p w14:paraId="7841044E" w14:textId="089328C6" w:rsidR="00F550FB" w:rsidRDefault="00F550FB" w:rsidP="00F550FB">
      <w:pPr>
        <w:pStyle w:val="KeinLeerraum"/>
        <w:ind w:left="360"/>
      </w:pPr>
      <w:r>
        <w:t>Throughout the</w:t>
      </w:r>
      <w:r w:rsidR="00F50E76">
        <w:t xml:space="preserve"> initial</w:t>
      </w:r>
      <w:r>
        <w:t xml:space="preserve"> day</w:t>
      </w:r>
      <w:r w:rsidR="00F50E76">
        <w:t xml:space="preserve"> of the exercise</w:t>
      </w:r>
      <w:r>
        <w:t xml:space="preserve">, the group gave an introduction and overview of the ESRI Information Management system to </w:t>
      </w:r>
      <w:r w:rsidR="00F50E76" w:rsidRPr="00F50E76">
        <w:t>INSARAG classifiers</w:t>
      </w:r>
      <w:r w:rsidR="00F50E76">
        <w:t xml:space="preserve">, </w:t>
      </w:r>
      <w:r>
        <w:t>exercise control staff,</w:t>
      </w:r>
      <w:r w:rsidR="00F50E76">
        <w:t xml:space="preserve"> and exercise trainers to ensure that the system would be fully integrated into the </w:t>
      </w:r>
      <w:proofErr w:type="spellStart"/>
      <w:r w:rsidR="00F50E76">
        <w:t>Modex</w:t>
      </w:r>
      <w:proofErr w:type="spellEnd"/>
      <w:r w:rsidR="00F50E76">
        <w:t>.</w:t>
      </w:r>
    </w:p>
    <w:p w14:paraId="108FF053" w14:textId="1D397A17" w:rsidR="00F50E76" w:rsidRDefault="00F50E76" w:rsidP="00F550FB">
      <w:pPr>
        <w:pStyle w:val="KeinLeerraum"/>
        <w:ind w:left="360"/>
      </w:pPr>
      <w:r>
        <w:t>Feedback from these groups was extremely positive, and the dashboard was used by all groups to maintain ongoing situational awareness</w:t>
      </w:r>
      <w:r w:rsidR="008E3C29">
        <w:t xml:space="preserve"> for the duration of </w:t>
      </w:r>
      <w:proofErr w:type="spellStart"/>
      <w:r w:rsidR="008E3C29">
        <w:t>Modex</w:t>
      </w:r>
      <w:proofErr w:type="spellEnd"/>
    </w:p>
    <w:p w14:paraId="1B7EA57E" w14:textId="77777777" w:rsidR="00F50E76" w:rsidRDefault="00F50E76" w:rsidP="00F550FB">
      <w:pPr>
        <w:pStyle w:val="KeinLeerraum"/>
        <w:ind w:left="360"/>
      </w:pPr>
    </w:p>
    <w:p w14:paraId="21FDE9B1" w14:textId="78327C26" w:rsidR="00F50E76" w:rsidRDefault="00F50E76" w:rsidP="00F550FB">
      <w:pPr>
        <w:pStyle w:val="KeinLeerraum"/>
        <w:ind w:left="360"/>
      </w:pPr>
      <w:r>
        <w:t>IMWG members attended the Reception and Departure Centre and Base of Operations during the exercise to offer support if required.</w:t>
      </w:r>
    </w:p>
    <w:p w14:paraId="43D1AF8C" w14:textId="5E485D82" w:rsidR="00F50E76" w:rsidRDefault="00F50E76" w:rsidP="00F550FB">
      <w:pPr>
        <w:pStyle w:val="KeinLeerraum"/>
        <w:ind w:left="360"/>
      </w:pPr>
    </w:p>
    <w:p w14:paraId="1938214A" w14:textId="39C0E926" w:rsidR="00F50E76" w:rsidRDefault="00F50E76" w:rsidP="006C21FB">
      <w:pPr>
        <w:pStyle w:val="KeinLeerraum"/>
        <w:ind w:left="360"/>
        <w:rPr>
          <w:u w:val="single"/>
        </w:rPr>
      </w:pPr>
      <w:r w:rsidRPr="00F50E76">
        <w:rPr>
          <w:u w:val="single"/>
        </w:rPr>
        <w:t>26</w:t>
      </w:r>
      <w:r w:rsidRPr="00F50E76">
        <w:rPr>
          <w:u w:val="single"/>
          <w:vertAlign w:val="superscript"/>
        </w:rPr>
        <w:t>th</w:t>
      </w:r>
      <w:r w:rsidRPr="00F50E76">
        <w:rPr>
          <w:u w:val="single"/>
        </w:rPr>
        <w:t xml:space="preserve"> January 2019</w:t>
      </w:r>
    </w:p>
    <w:p w14:paraId="38BD38BD" w14:textId="410D80D3" w:rsidR="00626D31" w:rsidRDefault="00626D31" w:rsidP="006C21FB">
      <w:pPr>
        <w:pStyle w:val="KeinLeerraum"/>
        <w:ind w:left="360"/>
      </w:pPr>
      <w:r>
        <w:t>The system was consistently monitored, and s</w:t>
      </w:r>
      <w:r w:rsidRPr="00626D31">
        <w:t xml:space="preserve">upport was again given to all areas of the </w:t>
      </w:r>
      <w:proofErr w:type="spellStart"/>
      <w:r w:rsidRPr="00626D31">
        <w:t>Modex</w:t>
      </w:r>
      <w:proofErr w:type="spellEnd"/>
      <w:r>
        <w:t>. ESRI was used to facilitate the ‘</w:t>
      </w:r>
      <w:proofErr w:type="spellStart"/>
      <w:r>
        <w:t>timejump</w:t>
      </w:r>
      <w:proofErr w:type="spellEnd"/>
      <w:r>
        <w:t xml:space="preserve">’ within the exercise, to ensure that sufficient data was available in the background for the exercise timeline. </w:t>
      </w:r>
    </w:p>
    <w:p w14:paraId="3E13E888" w14:textId="1CCC86FF" w:rsidR="008E3C29" w:rsidRDefault="008E3C29" w:rsidP="006C21FB">
      <w:pPr>
        <w:pStyle w:val="KeinLeerraum"/>
        <w:ind w:left="360"/>
      </w:pPr>
    </w:p>
    <w:p w14:paraId="6D639317" w14:textId="2AC93504" w:rsidR="008E3C29" w:rsidRDefault="008E3C29" w:rsidP="006C21FB">
      <w:pPr>
        <w:pStyle w:val="KeinLeerraum"/>
        <w:ind w:left="360"/>
        <w:rPr>
          <w:u w:val="single"/>
        </w:rPr>
      </w:pPr>
      <w:r w:rsidRPr="008E3C29">
        <w:rPr>
          <w:u w:val="single"/>
        </w:rPr>
        <w:t>27</w:t>
      </w:r>
      <w:r w:rsidRPr="008E3C29">
        <w:rPr>
          <w:u w:val="single"/>
          <w:vertAlign w:val="superscript"/>
        </w:rPr>
        <w:t>th</w:t>
      </w:r>
      <w:r w:rsidRPr="008E3C29">
        <w:rPr>
          <w:u w:val="single"/>
        </w:rPr>
        <w:t xml:space="preserve"> January 2019</w:t>
      </w:r>
    </w:p>
    <w:p w14:paraId="0403980C" w14:textId="29706F61" w:rsidR="008E3C29" w:rsidRPr="008E3C29" w:rsidRDefault="008E3C29" w:rsidP="006C21FB">
      <w:pPr>
        <w:pStyle w:val="KeinLeerraum"/>
        <w:ind w:left="360"/>
      </w:pPr>
      <w:r w:rsidRPr="008E3C29">
        <w:t xml:space="preserve">As a result of the </w:t>
      </w:r>
      <w:r>
        <w:t xml:space="preserve">success of the ESRI dashboard throughout the </w:t>
      </w:r>
      <w:proofErr w:type="spellStart"/>
      <w:r>
        <w:t>Modex</w:t>
      </w:r>
      <w:proofErr w:type="spellEnd"/>
      <w:r>
        <w:t xml:space="preserve">, discussions were held with representatives of the European Commission and the </w:t>
      </w:r>
      <w:proofErr w:type="spellStart"/>
      <w:r>
        <w:t>Modex</w:t>
      </w:r>
      <w:proofErr w:type="spellEnd"/>
      <w:r>
        <w:t xml:space="preserve"> consortium, regarding future use of the system within the current </w:t>
      </w:r>
      <w:proofErr w:type="spellStart"/>
      <w:r>
        <w:t>Modex</w:t>
      </w:r>
      <w:proofErr w:type="spellEnd"/>
      <w:r>
        <w:t xml:space="preserve"> cycle, and the wider Civil Protection Mechanism.</w:t>
      </w:r>
    </w:p>
    <w:p w14:paraId="18909C91" w14:textId="139DE0E4" w:rsidR="008D06F1" w:rsidRDefault="008D06F1" w:rsidP="008E3C29">
      <w:pPr>
        <w:pStyle w:val="KeinLeerraum"/>
        <w:rPr>
          <w:color w:val="FF0000"/>
        </w:rPr>
      </w:pPr>
    </w:p>
    <w:p w14:paraId="59856CA6" w14:textId="77777777" w:rsidR="00BA456B" w:rsidRPr="00BA456B" w:rsidRDefault="00BA456B" w:rsidP="00BA456B">
      <w:pPr>
        <w:pStyle w:val="KeinLeerraum"/>
        <w:rPr>
          <w:rFonts w:cs="Calibri"/>
        </w:rPr>
      </w:pPr>
    </w:p>
    <w:p w14:paraId="4FCBFFCA" w14:textId="77777777" w:rsidR="00BA456B" w:rsidRPr="00C22EA2" w:rsidRDefault="00BA456B" w:rsidP="008D06F1">
      <w:pPr>
        <w:pStyle w:val="KeinLeerraum"/>
        <w:ind w:left="720"/>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2260"/>
        <w:gridCol w:w="2261"/>
        <w:gridCol w:w="2258"/>
      </w:tblGrid>
      <w:tr w:rsidR="00F2367A" w:rsidRPr="00B551A1" w14:paraId="48116EE5" w14:textId="77777777" w:rsidTr="00B32C04">
        <w:tc>
          <w:tcPr>
            <w:tcW w:w="2237" w:type="dxa"/>
            <w:shd w:val="clear" w:color="auto" w:fill="auto"/>
            <w:vAlign w:val="center"/>
          </w:tcPr>
          <w:p w14:paraId="638406F9" w14:textId="405C13BC" w:rsidR="00F2367A" w:rsidRPr="00B551A1" w:rsidRDefault="007268EB" w:rsidP="008C6127">
            <w:pPr>
              <w:pStyle w:val="KeinLeerraum"/>
              <w:spacing w:before="60" w:after="60"/>
              <w:jc w:val="center"/>
              <w:rPr>
                <w:rFonts w:cs="Calibri"/>
                <w:b/>
                <w:sz w:val="28"/>
              </w:rPr>
            </w:pPr>
            <w:r>
              <w:rPr>
                <w:rFonts w:cs="Calibri"/>
                <w:b/>
                <w:sz w:val="28"/>
              </w:rPr>
              <w:t>IM</w:t>
            </w:r>
            <w:r w:rsidR="00F2367A" w:rsidRPr="00B551A1">
              <w:rPr>
                <w:rFonts w:cs="Calibri"/>
                <w:b/>
                <w:sz w:val="28"/>
              </w:rPr>
              <w:t>WG 201</w:t>
            </w:r>
            <w:r w:rsidR="00F2367A">
              <w:rPr>
                <w:rFonts w:cs="Calibri"/>
                <w:b/>
                <w:sz w:val="28"/>
              </w:rPr>
              <w:t>9</w:t>
            </w:r>
            <w:r w:rsidR="00F2367A" w:rsidRPr="00B551A1">
              <w:rPr>
                <w:rFonts w:cs="Calibri"/>
                <w:b/>
                <w:sz w:val="28"/>
              </w:rPr>
              <w:t>:</w:t>
            </w:r>
          </w:p>
          <w:p w14:paraId="5B0C5E37" w14:textId="77777777" w:rsidR="00F2367A" w:rsidRPr="00B551A1" w:rsidRDefault="00F2367A" w:rsidP="008C6127">
            <w:pPr>
              <w:pStyle w:val="KeinLeerraum"/>
              <w:spacing w:before="60" w:after="60"/>
              <w:jc w:val="center"/>
              <w:rPr>
                <w:rFonts w:cs="Calibri"/>
                <w:b/>
                <w:sz w:val="28"/>
              </w:rPr>
            </w:pPr>
            <w:r w:rsidRPr="00B551A1">
              <w:rPr>
                <w:rFonts w:cs="Calibri"/>
                <w:b/>
                <w:sz w:val="28"/>
              </w:rPr>
              <w:t>Work plan</w:t>
            </w:r>
          </w:p>
        </w:tc>
        <w:tc>
          <w:tcPr>
            <w:tcW w:w="2260" w:type="dxa"/>
            <w:shd w:val="clear" w:color="auto" w:fill="auto"/>
          </w:tcPr>
          <w:p w14:paraId="04874312" w14:textId="246BDA06" w:rsidR="00F2367A" w:rsidRPr="00B551A1" w:rsidRDefault="00F2367A" w:rsidP="008C6127">
            <w:pPr>
              <w:pStyle w:val="KeinLeerraum"/>
              <w:spacing w:before="60" w:after="60"/>
              <w:jc w:val="center"/>
              <w:rPr>
                <w:rFonts w:cs="Calibri"/>
                <w:b/>
                <w:sz w:val="24"/>
              </w:rPr>
            </w:pPr>
            <w:r w:rsidRPr="00B551A1">
              <w:rPr>
                <w:rFonts w:cs="Calibri"/>
                <w:b/>
                <w:sz w:val="24"/>
              </w:rPr>
              <w:t>Dep</w:t>
            </w:r>
            <w:r w:rsidR="0001244B">
              <w:rPr>
                <w:rFonts w:cs="Calibri"/>
                <w:b/>
                <w:sz w:val="24"/>
              </w:rPr>
              <w:t>loyment of ESRI as an operational tool</w:t>
            </w:r>
          </w:p>
        </w:tc>
        <w:tc>
          <w:tcPr>
            <w:tcW w:w="2261" w:type="dxa"/>
            <w:shd w:val="clear" w:color="auto" w:fill="auto"/>
          </w:tcPr>
          <w:p w14:paraId="5424A9E8" w14:textId="46C483B1" w:rsidR="00F2367A" w:rsidRPr="0001244B" w:rsidRDefault="00411F4F" w:rsidP="008C6127">
            <w:pPr>
              <w:pStyle w:val="KeinLeerraum"/>
              <w:spacing w:before="60" w:after="60"/>
              <w:jc w:val="center"/>
              <w:rPr>
                <w:rFonts w:cs="Calibri"/>
                <w:b/>
                <w:color w:val="FF0000"/>
                <w:sz w:val="24"/>
              </w:rPr>
            </w:pPr>
            <w:r w:rsidRPr="00411F4F">
              <w:rPr>
                <w:rFonts w:cs="Calibri"/>
                <w:b/>
                <w:color w:val="FF0000"/>
                <w:sz w:val="24"/>
              </w:rPr>
              <w:t xml:space="preserve">Review </w:t>
            </w:r>
            <w:r>
              <w:rPr>
                <w:rFonts w:cs="Calibri"/>
                <w:b/>
                <w:color w:val="FF0000"/>
                <w:sz w:val="24"/>
              </w:rPr>
              <w:t>Guidelines and UCC manual for ESRI content</w:t>
            </w:r>
          </w:p>
        </w:tc>
        <w:tc>
          <w:tcPr>
            <w:tcW w:w="2258" w:type="dxa"/>
            <w:shd w:val="clear" w:color="auto" w:fill="auto"/>
            <w:vAlign w:val="center"/>
          </w:tcPr>
          <w:p w14:paraId="1D97151B" w14:textId="7F1A1165" w:rsidR="00F2367A" w:rsidRPr="0001244B" w:rsidRDefault="00411F4F" w:rsidP="008C6127">
            <w:pPr>
              <w:pStyle w:val="KeinLeerraum"/>
              <w:spacing w:before="60" w:after="60"/>
              <w:jc w:val="center"/>
              <w:rPr>
                <w:rFonts w:cs="Calibri"/>
                <w:b/>
                <w:color w:val="FF0000"/>
                <w:sz w:val="24"/>
              </w:rPr>
            </w:pPr>
            <w:r>
              <w:rPr>
                <w:rFonts w:cs="Calibri"/>
                <w:b/>
                <w:color w:val="FF0000"/>
                <w:sz w:val="24"/>
              </w:rPr>
              <w:t>Development of Training Packages for ESRI</w:t>
            </w:r>
          </w:p>
        </w:tc>
      </w:tr>
      <w:tr w:rsidR="00F2367A" w:rsidRPr="00B551A1" w14:paraId="7C3E2132" w14:textId="77777777" w:rsidTr="00B32C04">
        <w:tc>
          <w:tcPr>
            <w:tcW w:w="2237" w:type="dxa"/>
            <w:shd w:val="clear" w:color="auto" w:fill="auto"/>
            <w:vAlign w:val="center"/>
          </w:tcPr>
          <w:p w14:paraId="02A8B3E0" w14:textId="3DC639C6" w:rsidR="00F2367A" w:rsidRPr="00F2367A" w:rsidRDefault="00F2367A" w:rsidP="00B32C04">
            <w:pPr>
              <w:pStyle w:val="KeinLeerraum"/>
              <w:spacing w:before="60" w:after="60"/>
              <w:jc w:val="center"/>
              <w:rPr>
                <w:rFonts w:cs="Calibri"/>
              </w:rPr>
            </w:pPr>
            <w:r w:rsidRPr="00F2367A">
              <w:rPr>
                <w:rFonts w:cs="Calibri"/>
              </w:rPr>
              <w:t>Preliminary meeting:</w:t>
            </w:r>
          </w:p>
          <w:p w14:paraId="42F4276F" w14:textId="77777777" w:rsidR="00F2367A" w:rsidRDefault="0001244B" w:rsidP="008C6127">
            <w:pPr>
              <w:pStyle w:val="KeinLeerraum"/>
              <w:spacing w:before="60" w:after="60"/>
              <w:jc w:val="center"/>
              <w:rPr>
                <w:rFonts w:cs="Calibri"/>
              </w:rPr>
            </w:pPr>
            <w:r>
              <w:rPr>
                <w:rFonts w:cs="Calibri"/>
              </w:rPr>
              <w:t>23-25</w:t>
            </w:r>
            <w:r w:rsidR="00050CB6">
              <w:rPr>
                <w:rFonts w:cs="Calibri"/>
              </w:rPr>
              <w:t xml:space="preserve"> </w:t>
            </w:r>
            <w:r>
              <w:rPr>
                <w:rFonts w:cs="Calibri"/>
              </w:rPr>
              <w:t>January</w:t>
            </w:r>
            <w:r w:rsidR="00F2367A" w:rsidRPr="00F2367A">
              <w:rPr>
                <w:rFonts w:cs="Calibri"/>
              </w:rPr>
              <w:t xml:space="preserve"> 201</w:t>
            </w:r>
            <w:r w:rsidR="00B32C04">
              <w:rPr>
                <w:rFonts w:cs="Calibri"/>
              </w:rPr>
              <w:t>9</w:t>
            </w:r>
            <w:r w:rsidR="00050CB6">
              <w:rPr>
                <w:rFonts w:cs="Calibri"/>
              </w:rPr>
              <w:t xml:space="preserve"> </w:t>
            </w:r>
          </w:p>
          <w:p w14:paraId="1D093C91" w14:textId="1C24574E" w:rsidR="0001244B" w:rsidRPr="00F2367A" w:rsidRDefault="0001244B" w:rsidP="008C6127">
            <w:pPr>
              <w:pStyle w:val="KeinLeerraum"/>
              <w:spacing w:before="60" w:after="60"/>
              <w:jc w:val="center"/>
              <w:rPr>
                <w:rFonts w:cs="Calibri"/>
              </w:rPr>
            </w:pPr>
            <w:r>
              <w:rPr>
                <w:rFonts w:cs="Calibri"/>
              </w:rPr>
              <w:t>Denmark</w:t>
            </w:r>
          </w:p>
        </w:tc>
        <w:tc>
          <w:tcPr>
            <w:tcW w:w="2260" w:type="dxa"/>
            <w:shd w:val="clear" w:color="auto" w:fill="auto"/>
            <w:vAlign w:val="center"/>
          </w:tcPr>
          <w:p w14:paraId="49EE95CA" w14:textId="2C6FF5E9" w:rsidR="00F2367A" w:rsidRPr="00F2367A" w:rsidRDefault="0001244B" w:rsidP="008C6127">
            <w:pPr>
              <w:pStyle w:val="KeinLeerraum"/>
              <w:spacing w:before="60" w:after="60"/>
              <w:jc w:val="center"/>
              <w:rPr>
                <w:rFonts w:cs="Calibri"/>
              </w:rPr>
            </w:pPr>
            <w:r>
              <w:rPr>
                <w:rFonts w:cs="Calibri"/>
              </w:rPr>
              <w:t>Field Test and Review the current status of ESRI as part of NL IER</w:t>
            </w:r>
          </w:p>
        </w:tc>
        <w:tc>
          <w:tcPr>
            <w:tcW w:w="2261" w:type="dxa"/>
            <w:shd w:val="clear" w:color="auto" w:fill="auto"/>
            <w:vAlign w:val="center"/>
          </w:tcPr>
          <w:p w14:paraId="60F54EE8" w14:textId="77951579" w:rsidR="00F2367A" w:rsidRPr="00F2367A" w:rsidRDefault="00F2367A" w:rsidP="008C6127">
            <w:pPr>
              <w:pStyle w:val="KeinLeerraum"/>
              <w:spacing w:before="60" w:after="60"/>
              <w:jc w:val="center"/>
              <w:rPr>
                <w:rFonts w:cs="Calibri"/>
              </w:rPr>
            </w:pPr>
          </w:p>
        </w:tc>
        <w:tc>
          <w:tcPr>
            <w:tcW w:w="2258" w:type="dxa"/>
            <w:shd w:val="clear" w:color="auto" w:fill="auto"/>
            <w:vAlign w:val="center"/>
          </w:tcPr>
          <w:p w14:paraId="3DE10308" w14:textId="77777777" w:rsidR="00F2367A" w:rsidRPr="00F2367A" w:rsidRDefault="00F2367A" w:rsidP="008C6127">
            <w:pPr>
              <w:pStyle w:val="KeinLeerraum"/>
              <w:spacing w:before="60" w:after="60"/>
              <w:jc w:val="center"/>
              <w:rPr>
                <w:rFonts w:cs="Calibri"/>
              </w:rPr>
            </w:pPr>
            <w:r w:rsidRPr="00F2367A">
              <w:rPr>
                <w:rFonts w:cs="Calibri"/>
              </w:rPr>
              <w:t>Recommend changes to checklist and Manual C.</w:t>
            </w:r>
          </w:p>
        </w:tc>
      </w:tr>
      <w:tr w:rsidR="0001244B" w:rsidRPr="00B551A1" w14:paraId="7320F276" w14:textId="77777777" w:rsidTr="00B32C04">
        <w:tc>
          <w:tcPr>
            <w:tcW w:w="2237" w:type="dxa"/>
            <w:shd w:val="clear" w:color="auto" w:fill="auto"/>
            <w:vAlign w:val="center"/>
          </w:tcPr>
          <w:p w14:paraId="4F1C7D76" w14:textId="77777777" w:rsidR="0001244B" w:rsidRDefault="0001244B" w:rsidP="00B32C04">
            <w:pPr>
              <w:pStyle w:val="KeinLeerraum"/>
              <w:spacing w:before="60" w:after="60"/>
              <w:jc w:val="center"/>
              <w:rPr>
                <w:rFonts w:cs="Calibri"/>
              </w:rPr>
            </w:pPr>
            <w:r>
              <w:rPr>
                <w:rFonts w:cs="Calibri"/>
              </w:rPr>
              <w:t>HNPW and ISG</w:t>
            </w:r>
          </w:p>
          <w:p w14:paraId="4AAD988F" w14:textId="77777777" w:rsidR="0001244B" w:rsidRDefault="0001244B" w:rsidP="00B32C04">
            <w:pPr>
              <w:pStyle w:val="KeinLeerraum"/>
              <w:spacing w:before="60" w:after="60"/>
              <w:jc w:val="center"/>
              <w:rPr>
                <w:rFonts w:cs="Calibri"/>
              </w:rPr>
            </w:pPr>
            <w:r>
              <w:rPr>
                <w:rFonts w:cs="Calibri"/>
              </w:rPr>
              <w:t>Geneva</w:t>
            </w:r>
          </w:p>
          <w:p w14:paraId="51467980" w14:textId="71719BD7" w:rsidR="0001244B" w:rsidRPr="00F2367A" w:rsidRDefault="0001244B" w:rsidP="00B32C04">
            <w:pPr>
              <w:pStyle w:val="KeinLeerraum"/>
              <w:spacing w:before="60" w:after="60"/>
              <w:jc w:val="center"/>
              <w:rPr>
                <w:rFonts w:cs="Calibri"/>
              </w:rPr>
            </w:pPr>
            <w:r>
              <w:rPr>
                <w:rFonts w:cs="Calibri"/>
              </w:rPr>
              <w:t xml:space="preserve">February </w:t>
            </w:r>
          </w:p>
        </w:tc>
        <w:tc>
          <w:tcPr>
            <w:tcW w:w="2260" w:type="dxa"/>
            <w:shd w:val="clear" w:color="auto" w:fill="auto"/>
            <w:vAlign w:val="center"/>
          </w:tcPr>
          <w:p w14:paraId="46C5A628" w14:textId="77777777" w:rsidR="0001244B" w:rsidRDefault="00502D91" w:rsidP="008C6127">
            <w:pPr>
              <w:pStyle w:val="KeinLeerraum"/>
              <w:spacing w:before="60" w:after="60"/>
              <w:jc w:val="center"/>
              <w:rPr>
                <w:rFonts w:cs="Calibri"/>
              </w:rPr>
            </w:pPr>
            <w:r>
              <w:rPr>
                <w:rFonts w:cs="Calibri"/>
              </w:rPr>
              <w:t>UCC stand as part of HNPW</w:t>
            </w:r>
          </w:p>
          <w:p w14:paraId="17B001D6" w14:textId="5E536217" w:rsidR="00502D91" w:rsidRDefault="00502D91" w:rsidP="008C6127">
            <w:pPr>
              <w:pStyle w:val="KeinLeerraum"/>
              <w:spacing w:before="60" w:after="60"/>
              <w:jc w:val="center"/>
              <w:rPr>
                <w:rFonts w:cs="Calibri"/>
              </w:rPr>
            </w:pPr>
            <w:r>
              <w:rPr>
                <w:rFonts w:cs="Calibri"/>
              </w:rPr>
              <w:t>Commitment from ISG</w:t>
            </w:r>
          </w:p>
        </w:tc>
        <w:tc>
          <w:tcPr>
            <w:tcW w:w="2261" w:type="dxa"/>
            <w:shd w:val="clear" w:color="auto" w:fill="auto"/>
            <w:vAlign w:val="center"/>
          </w:tcPr>
          <w:p w14:paraId="56433C84" w14:textId="77777777" w:rsidR="0001244B" w:rsidRPr="00F2367A" w:rsidRDefault="0001244B" w:rsidP="008C6127">
            <w:pPr>
              <w:pStyle w:val="KeinLeerraum"/>
              <w:spacing w:before="60" w:after="60"/>
              <w:jc w:val="center"/>
              <w:rPr>
                <w:rFonts w:cs="Calibri"/>
              </w:rPr>
            </w:pPr>
          </w:p>
        </w:tc>
        <w:tc>
          <w:tcPr>
            <w:tcW w:w="2258" w:type="dxa"/>
            <w:shd w:val="clear" w:color="auto" w:fill="auto"/>
            <w:vAlign w:val="center"/>
          </w:tcPr>
          <w:p w14:paraId="6C75829F" w14:textId="77777777" w:rsidR="0001244B" w:rsidRPr="00F2367A" w:rsidRDefault="0001244B" w:rsidP="008C6127">
            <w:pPr>
              <w:pStyle w:val="KeinLeerraum"/>
              <w:spacing w:before="60" w:after="60"/>
              <w:jc w:val="center"/>
              <w:rPr>
                <w:rFonts w:cs="Calibri"/>
              </w:rPr>
            </w:pPr>
          </w:p>
        </w:tc>
      </w:tr>
      <w:tr w:rsidR="00A6095C" w:rsidRPr="00B551A1" w14:paraId="57419AA3" w14:textId="77777777" w:rsidTr="00B32C04">
        <w:tc>
          <w:tcPr>
            <w:tcW w:w="2237" w:type="dxa"/>
            <w:shd w:val="clear" w:color="auto" w:fill="auto"/>
            <w:vAlign w:val="center"/>
          </w:tcPr>
          <w:p w14:paraId="64A53E87" w14:textId="0A1D2BFE" w:rsidR="00A6095C" w:rsidRDefault="00A6095C" w:rsidP="00B32C04">
            <w:pPr>
              <w:pStyle w:val="KeinLeerraum"/>
              <w:spacing w:before="60" w:after="60"/>
              <w:jc w:val="center"/>
            </w:pPr>
            <w:r>
              <w:rPr>
                <w:rFonts w:cs="Calibri"/>
              </w:rPr>
              <w:lastRenderedPageBreak/>
              <w:t>U</w:t>
            </w:r>
            <w:r>
              <w:t>CC Train the Trainer</w:t>
            </w:r>
          </w:p>
          <w:p w14:paraId="1C2D61ED" w14:textId="182EB71F" w:rsidR="006A6BDC" w:rsidRDefault="006A6BDC" w:rsidP="00B32C04">
            <w:pPr>
              <w:pStyle w:val="KeinLeerraum"/>
              <w:spacing w:before="60" w:after="60"/>
              <w:jc w:val="center"/>
            </w:pPr>
            <w:r>
              <w:t>USA</w:t>
            </w:r>
          </w:p>
          <w:p w14:paraId="31DE9B66" w14:textId="46C36727" w:rsidR="00A6095C" w:rsidRDefault="00A6095C" w:rsidP="00B32C04">
            <w:pPr>
              <w:pStyle w:val="KeinLeerraum"/>
              <w:spacing w:before="60" w:after="60"/>
              <w:jc w:val="center"/>
              <w:rPr>
                <w:rFonts w:cs="Calibri"/>
              </w:rPr>
            </w:pPr>
            <w:r>
              <w:t>February</w:t>
            </w:r>
          </w:p>
        </w:tc>
        <w:tc>
          <w:tcPr>
            <w:tcW w:w="2260" w:type="dxa"/>
            <w:shd w:val="clear" w:color="auto" w:fill="auto"/>
            <w:vAlign w:val="center"/>
          </w:tcPr>
          <w:p w14:paraId="43FC70FF" w14:textId="7873BC1B" w:rsidR="00A6095C" w:rsidRDefault="00502D91" w:rsidP="008C6127">
            <w:pPr>
              <w:pStyle w:val="KeinLeerraum"/>
              <w:spacing w:before="60" w:after="60"/>
              <w:jc w:val="center"/>
              <w:rPr>
                <w:rFonts w:cs="Calibri"/>
              </w:rPr>
            </w:pPr>
            <w:r>
              <w:rPr>
                <w:rFonts w:cs="Calibri"/>
              </w:rPr>
              <w:t>Inclusion of ESRI as the DTC in the core syllabus</w:t>
            </w:r>
          </w:p>
        </w:tc>
        <w:tc>
          <w:tcPr>
            <w:tcW w:w="2261" w:type="dxa"/>
            <w:shd w:val="clear" w:color="auto" w:fill="auto"/>
            <w:vAlign w:val="center"/>
          </w:tcPr>
          <w:p w14:paraId="4687B16A" w14:textId="77777777" w:rsidR="00A6095C" w:rsidRPr="00F2367A" w:rsidRDefault="00A6095C" w:rsidP="008C6127">
            <w:pPr>
              <w:pStyle w:val="KeinLeerraum"/>
              <w:spacing w:before="60" w:after="60"/>
              <w:jc w:val="center"/>
              <w:rPr>
                <w:rFonts w:cs="Calibri"/>
              </w:rPr>
            </w:pPr>
          </w:p>
        </w:tc>
        <w:tc>
          <w:tcPr>
            <w:tcW w:w="2258" w:type="dxa"/>
            <w:shd w:val="clear" w:color="auto" w:fill="auto"/>
            <w:vAlign w:val="center"/>
          </w:tcPr>
          <w:p w14:paraId="5EAE13FC" w14:textId="77777777" w:rsidR="00A6095C" w:rsidRPr="00F2367A" w:rsidRDefault="00A6095C" w:rsidP="008C6127">
            <w:pPr>
              <w:pStyle w:val="KeinLeerraum"/>
              <w:spacing w:before="60" w:after="60"/>
              <w:jc w:val="center"/>
              <w:rPr>
                <w:rFonts w:cs="Calibri"/>
              </w:rPr>
            </w:pPr>
          </w:p>
        </w:tc>
      </w:tr>
      <w:tr w:rsidR="007268EB" w:rsidRPr="00B551A1" w14:paraId="37D5A76C" w14:textId="77777777" w:rsidTr="00B32C04">
        <w:tc>
          <w:tcPr>
            <w:tcW w:w="2237" w:type="dxa"/>
            <w:shd w:val="clear" w:color="auto" w:fill="auto"/>
            <w:vAlign w:val="center"/>
          </w:tcPr>
          <w:p w14:paraId="7BFBB211" w14:textId="77777777" w:rsidR="007268EB" w:rsidRDefault="007268EB" w:rsidP="00B32C04">
            <w:pPr>
              <w:pStyle w:val="KeinLeerraum"/>
              <w:spacing w:before="60" w:after="60"/>
              <w:jc w:val="center"/>
              <w:rPr>
                <w:rFonts w:cs="Calibri"/>
              </w:rPr>
            </w:pPr>
            <w:r>
              <w:rPr>
                <w:rFonts w:cs="Calibri"/>
              </w:rPr>
              <w:t xml:space="preserve">UCC Train the Trainer </w:t>
            </w:r>
          </w:p>
          <w:p w14:paraId="34A8D3EF" w14:textId="77777777" w:rsidR="007268EB" w:rsidRDefault="007268EB" w:rsidP="00B32C04">
            <w:pPr>
              <w:pStyle w:val="KeinLeerraum"/>
              <w:spacing w:before="60" w:after="60"/>
              <w:jc w:val="center"/>
              <w:rPr>
                <w:rFonts w:cs="Calibri"/>
              </w:rPr>
            </w:pPr>
            <w:r>
              <w:rPr>
                <w:rFonts w:cs="Calibri"/>
              </w:rPr>
              <w:t>New Zealand</w:t>
            </w:r>
          </w:p>
          <w:p w14:paraId="6D863D97" w14:textId="50B36547" w:rsidR="007268EB" w:rsidRDefault="007268EB" w:rsidP="00B32C04">
            <w:pPr>
              <w:pStyle w:val="KeinLeerraum"/>
              <w:spacing w:before="60" w:after="60"/>
              <w:jc w:val="center"/>
              <w:rPr>
                <w:rFonts w:cs="Calibri"/>
              </w:rPr>
            </w:pPr>
            <w:r>
              <w:rPr>
                <w:rFonts w:cs="Calibri"/>
              </w:rPr>
              <w:t>May</w:t>
            </w:r>
          </w:p>
        </w:tc>
        <w:tc>
          <w:tcPr>
            <w:tcW w:w="2260" w:type="dxa"/>
            <w:shd w:val="clear" w:color="auto" w:fill="auto"/>
            <w:vAlign w:val="center"/>
          </w:tcPr>
          <w:p w14:paraId="51F5AD0F" w14:textId="035AA4B4" w:rsidR="007268EB" w:rsidRDefault="00502D91" w:rsidP="008C6127">
            <w:pPr>
              <w:pStyle w:val="KeinLeerraum"/>
              <w:spacing w:before="60" w:after="60"/>
              <w:jc w:val="center"/>
              <w:rPr>
                <w:rFonts w:cs="Calibri"/>
              </w:rPr>
            </w:pPr>
            <w:r>
              <w:rPr>
                <w:rFonts w:cs="Calibri"/>
              </w:rPr>
              <w:t>Feedback from US course and continued development of ESRI integration</w:t>
            </w:r>
          </w:p>
        </w:tc>
        <w:tc>
          <w:tcPr>
            <w:tcW w:w="2261" w:type="dxa"/>
            <w:shd w:val="clear" w:color="auto" w:fill="auto"/>
            <w:vAlign w:val="center"/>
          </w:tcPr>
          <w:p w14:paraId="58FD052B" w14:textId="77777777" w:rsidR="007268EB" w:rsidRPr="00F2367A" w:rsidRDefault="007268EB" w:rsidP="008C6127">
            <w:pPr>
              <w:pStyle w:val="KeinLeerraum"/>
              <w:spacing w:before="60" w:after="60"/>
              <w:jc w:val="center"/>
              <w:rPr>
                <w:rFonts w:cs="Calibri"/>
              </w:rPr>
            </w:pPr>
          </w:p>
        </w:tc>
        <w:tc>
          <w:tcPr>
            <w:tcW w:w="2258" w:type="dxa"/>
            <w:shd w:val="clear" w:color="auto" w:fill="auto"/>
            <w:vAlign w:val="center"/>
          </w:tcPr>
          <w:p w14:paraId="7DBC31F6" w14:textId="77777777" w:rsidR="007268EB" w:rsidRPr="00F2367A" w:rsidRDefault="007268EB" w:rsidP="008C6127">
            <w:pPr>
              <w:pStyle w:val="KeinLeerraum"/>
              <w:spacing w:before="60" w:after="60"/>
              <w:jc w:val="center"/>
              <w:rPr>
                <w:rFonts w:cs="Calibri"/>
              </w:rPr>
            </w:pPr>
          </w:p>
        </w:tc>
      </w:tr>
      <w:tr w:rsidR="00A6095C" w:rsidRPr="00B551A1" w14:paraId="44C49EC4" w14:textId="77777777" w:rsidTr="00B32C04">
        <w:tc>
          <w:tcPr>
            <w:tcW w:w="2237" w:type="dxa"/>
            <w:shd w:val="clear" w:color="auto" w:fill="auto"/>
            <w:vAlign w:val="center"/>
          </w:tcPr>
          <w:p w14:paraId="3A0BD832" w14:textId="0AE05584" w:rsidR="00A6095C" w:rsidRDefault="00A6095C" w:rsidP="00B32C04">
            <w:pPr>
              <w:pStyle w:val="KeinLeerraum"/>
              <w:spacing w:before="60" w:after="60"/>
              <w:jc w:val="center"/>
              <w:rPr>
                <w:rFonts w:cs="Calibri"/>
              </w:rPr>
            </w:pPr>
            <w:r>
              <w:rPr>
                <w:rFonts w:cs="Calibri"/>
              </w:rPr>
              <w:t>GRG</w:t>
            </w:r>
          </w:p>
          <w:p w14:paraId="12D41D7A" w14:textId="0DE2C248" w:rsidR="00A6095C" w:rsidRDefault="00A6095C" w:rsidP="00B32C04">
            <w:pPr>
              <w:pStyle w:val="KeinLeerraum"/>
              <w:spacing w:before="60" w:after="60"/>
              <w:jc w:val="center"/>
              <w:rPr>
                <w:rFonts w:cs="Calibri"/>
              </w:rPr>
            </w:pPr>
            <w:r>
              <w:rPr>
                <w:rFonts w:cs="Calibri"/>
              </w:rPr>
              <w:t xml:space="preserve">Singapore </w:t>
            </w:r>
          </w:p>
          <w:p w14:paraId="59996E4D" w14:textId="77E9628C" w:rsidR="00A6095C" w:rsidRDefault="00A6095C" w:rsidP="00B32C04">
            <w:pPr>
              <w:pStyle w:val="KeinLeerraum"/>
              <w:spacing w:before="60" w:after="60"/>
              <w:jc w:val="center"/>
              <w:rPr>
                <w:rFonts w:cs="Calibri"/>
              </w:rPr>
            </w:pPr>
            <w:r>
              <w:rPr>
                <w:rFonts w:cs="Calibri"/>
              </w:rPr>
              <w:t xml:space="preserve">June </w:t>
            </w:r>
          </w:p>
        </w:tc>
        <w:tc>
          <w:tcPr>
            <w:tcW w:w="2260" w:type="dxa"/>
            <w:shd w:val="clear" w:color="auto" w:fill="auto"/>
            <w:vAlign w:val="center"/>
          </w:tcPr>
          <w:p w14:paraId="6E29723C" w14:textId="29650100" w:rsidR="00A6095C" w:rsidRDefault="00502D91" w:rsidP="008C6127">
            <w:pPr>
              <w:pStyle w:val="KeinLeerraum"/>
              <w:spacing w:before="60" w:after="60"/>
              <w:jc w:val="center"/>
              <w:rPr>
                <w:rFonts w:cs="Calibri"/>
              </w:rPr>
            </w:pPr>
            <w:r>
              <w:rPr>
                <w:rFonts w:cs="Calibri"/>
              </w:rPr>
              <w:t>Is attendance required?</w:t>
            </w:r>
          </w:p>
        </w:tc>
        <w:tc>
          <w:tcPr>
            <w:tcW w:w="2261" w:type="dxa"/>
            <w:shd w:val="clear" w:color="auto" w:fill="auto"/>
            <w:vAlign w:val="center"/>
          </w:tcPr>
          <w:p w14:paraId="47106813" w14:textId="77777777" w:rsidR="00A6095C" w:rsidRPr="00F2367A" w:rsidRDefault="00A6095C" w:rsidP="008C6127">
            <w:pPr>
              <w:pStyle w:val="KeinLeerraum"/>
              <w:spacing w:before="60" w:after="60"/>
              <w:jc w:val="center"/>
              <w:rPr>
                <w:rFonts w:cs="Calibri"/>
              </w:rPr>
            </w:pPr>
          </w:p>
        </w:tc>
        <w:tc>
          <w:tcPr>
            <w:tcW w:w="2258" w:type="dxa"/>
            <w:shd w:val="clear" w:color="auto" w:fill="auto"/>
            <w:vAlign w:val="center"/>
          </w:tcPr>
          <w:p w14:paraId="5B75798B" w14:textId="77777777" w:rsidR="00A6095C" w:rsidRPr="00F2367A" w:rsidRDefault="00A6095C" w:rsidP="008C6127">
            <w:pPr>
              <w:pStyle w:val="KeinLeerraum"/>
              <w:spacing w:before="60" w:after="60"/>
              <w:jc w:val="center"/>
              <w:rPr>
                <w:rFonts w:cs="Calibri"/>
              </w:rPr>
            </w:pPr>
          </w:p>
        </w:tc>
      </w:tr>
      <w:tr w:rsidR="006F07B8" w:rsidRPr="00B551A1" w14:paraId="19810AED" w14:textId="77777777" w:rsidTr="006B09A4">
        <w:tc>
          <w:tcPr>
            <w:tcW w:w="2237" w:type="dxa"/>
            <w:shd w:val="clear" w:color="auto" w:fill="auto"/>
            <w:vAlign w:val="center"/>
          </w:tcPr>
          <w:p w14:paraId="1179973E" w14:textId="77777777" w:rsidR="006F07B8" w:rsidRDefault="006F07B8" w:rsidP="006F07B8">
            <w:pPr>
              <w:pStyle w:val="KeinLeerraum"/>
              <w:spacing w:before="60" w:after="60"/>
              <w:jc w:val="center"/>
              <w:rPr>
                <w:rFonts w:cs="Calibri"/>
              </w:rPr>
            </w:pPr>
            <w:r w:rsidRPr="00B32C04">
              <w:rPr>
                <w:rFonts w:cs="Calibri"/>
              </w:rPr>
              <w:t xml:space="preserve">AP Regional Meeting, </w:t>
            </w:r>
            <w:r>
              <w:rPr>
                <w:rFonts w:cs="Calibri"/>
              </w:rPr>
              <w:t>(</w:t>
            </w:r>
            <w:r w:rsidRPr="00B32C04">
              <w:rPr>
                <w:rFonts w:cs="Calibri"/>
              </w:rPr>
              <w:t>Australia</w:t>
            </w:r>
            <w:r>
              <w:rPr>
                <w:rFonts w:cs="Calibri"/>
              </w:rPr>
              <w:t>)</w:t>
            </w:r>
          </w:p>
          <w:p w14:paraId="31782A29" w14:textId="78C44CB5" w:rsidR="006F07B8" w:rsidRPr="00F2367A" w:rsidRDefault="006F07B8" w:rsidP="006F07B8">
            <w:pPr>
              <w:pStyle w:val="KeinLeerraum"/>
              <w:spacing w:before="60" w:after="60"/>
              <w:jc w:val="center"/>
              <w:rPr>
                <w:rFonts w:cs="Calibri"/>
              </w:rPr>
            </w:pPr>
            <w:r>
              <w:rPr>
                <w:rFonts w:cs="Calibri"/>
              </w:rPr>
              <w:t xml:space="preserve">15-16 </w:t>
            </w:r>
            <w:r w:rsidRPr="00B32C04">
              <w:rPr>
                <w:rFonts w:cs="Calibri"/>
              </w:rPr>
              <w:t>August</w:t>
            </w:r>
            <w:r>
              <w:rPr>
                <w:rFonts w:cs="Calibri"/>
              </w:rPr>
              <w:t xml:space="preserve"> 2019</w:t>
            </w:r>
          </w:p>
        </w:tc>
        <w:tc>
          <w:tcPr>
            <w:tcW w:w="6779" w:type="dxa"/>
            <w:gridSpan w:val="3"/>
            <w:shd w:val="clear" w:color="auto" w:fill="auto"/>
            <w:vAlign w:val="center"/>
          </w:tcPr>
          <w:p w14:paraId="1BD019F8" w14:textId="27065D7F" w:rsidR="006F07B8" w:rsidRPr="00F2367A" w:rsidRDefault="006F07B8" w:rsidP="006F07B8">
            <w:pPr>
              <w:pStyle w:val="KeinLeerraum"/>
              <w:spacing w:before="60" w:after="60"/>
              <w:jc w:val="center"/>
              <w:rPr>
                <w:rFonts w:cs="Calibri"/>
              </w:rPr>
            </w:pPr>
            <w:r w:rsidRPr="00F2367A">
              <w:rPr>
                <w:rFonts w:cs="Calibri"/>
              </w:rPr>
              <w:t>Present “</w:t>
            </w:r>
            <w:r w:rsidR="003D68DF">
              <w:rPr>
                <w:rFonts w:cs="Calibri"/>
              </w:rPr>
              <w:t>IM</w:t>
            </w:r>
            <w:r w:rsidRPr="00F2367A">
              <w:rPr>
                <w:rFonts w:cs="Calibri"/>
              </w:rPr>
              <w:t>WG updates – Regional meeting” update ppt</w:t>
            </w:r>
          </w:p>
        </w:tc>
      </w:tr>
      <w:tr w:rsidR="00F2367A" w:rsidRPr="00B551A1" w14:paraId="58541921" w14:textId="77777777" w:rsidTr="00B32C04">
        <w:tc>
          <w:tcPr>
            <w:tcW w:w="2237" w:type="dxa"/>
            <w:vMerge w:val="restart"/>
            <w:shd w:val="clear" w:color="auto" w:fill="auto"/>
            <w:vAlign w:val="center"/>
          </w:tcPr>
          <w:p w14:paraId="5AB3C293" w14:textId="77777777" w:rsidR="00F2367A" w:rsidRDefault="00B32C04" w:rsidP="008C6127">
            <w:pPr>
              <w:pStyle w:val="KeinLeerraum"/>
              <w:spacing w:before="60" w:after="60"/>
              <w:jc w:val="center"/>
              <w:rPr>
                <w:rFonts w:cs="Calibri"/>
              </w:rPr>
            </w:pPr>
            <w:r w:rsidRPr="00B32C04">
              <w:rPr>
                <w:rFonts w:cs="Calibri"/>
              </w:rPr>
              <w:t>Team Leaders and Working Groups Meeting, Chile</w:t>
            </w:r>
            <w:r>
              <w:rPr>
                <w:rFonts w:cs="Calibri"/>
              </w:rPr>
              <w:t>.</w:t>
            </w:r>
          </w:p>
          <w:p w14:paraId="499B7F83" w14:textId="09B251B0" w:rsidR="00B32C04" w:rsidRPr="00F2367A" w:rsidRDefault="00B32C04" w:rsidP="008C6127">
            <w:pPr>
              <w:pStyle w:val="KeinLeerraum"/>
              <w:spacing w:before="60" w:after="60"/>
              <w:jc w:val="center"/>
              <w:rPr>
                <w:rFonts w:cs="Calibri"/>
              </w:rPr>
            </w:pPr>
            <w:r>
              <w:rPr>
                <w:rFonts w:cs="Calibri"/>
              </w:rPr>
              <w:t xml:space="preserve">October </w:t>
            </w:r>
            <w:r w:rsidRPr="00B32C04">
              <w:rPr>
                <w:rFonts w:cs="Calibri"/>
              </w:rPr>
              <w:t>6-11</w:t>
            </w:r>
          </w:p>
        </w:tc>
        <w:tc>
          <w:tcPr>
            <w:tcW w:w="2260" w:type="dxa"/>
            <w:shd w:val="clear" w:color="auto" w:fill="auto"/>
            <w:vAlign w:val="center"/>
          </w:tcPr>
          <w:p w14:paraId="20A6D7E7" w14:textId="646FA1D9" w:rsidR="00F2367A" w:rsidRPr="00F2367A" w:rsidRDefault="00F2367A" w:rsidP="006A6BDC">
            <w:pPr>
              <w:pStyle w:val="KeinLeerraum"/>
              <w:spacing w:before="60" w:after="60"/>
              <w:jc w:val="center"/>
              <w:rPr>
                <w:rFonts w:cs="Calibri"/>
              </w:rPr>
            </w:pPr>
            <w:r w:rsidRPr="00F2367A">
              <w:rPr>
                <w:rFonts w:cs="Calibri"/>
              </w:rPr>
              <w:t>Final</w:t>
            </w:r>
            <w:r w:rsidR="006A6BDC">
              <w:rPr>
                <w:rFonts w:cs="Calibri"/>
              </w:rPr>
              <w:t xml:space="preserve"> ESRI demonstration and </w:t>
            </w:r>
            <w:r w:rsidR="00DA332D">
              <w:rPr>
                <w:rFonts w:cs="Calibri"/>
              </w:rPr>
              <w:t xml:space="preserve">one </w:t>
            </w:r>
            <w:bookmarkStart w:id="3" w:name="_GoBack"/>
            <w:bookmarkEnd w:id="3"/>
            <w:r w:rsidR="006A6BDC">
              <w:rPr>
                <w:rFonts w:cs="Calibri"/>
              </w:rPr>
              <w:t>day training, Handbook and Licenses issued</w:t>
            </w:r>
          </w:p>
        </w:tc>
        <w:tc>
          <w:tcPr>
            <w:tcW w:w="2261" w:type="dxa"/>
            <w:shd w:val="clear" w:color="auto" w:fill="auto"/>
            <w:vAlign w:val="center"/>
          </w:tcPr>
          <w:p w14:paraId="3BB580ED" w14:textId="77777777" w:rsidR="00F2367A" w:rsidRPr="00F2367A" w:rsidRDefault="00F2367A" w:rsidP="008C6127">
            <w:pPr>
              <w:pStyle w:val="KeinLeerraum"/>
              <w:spacing w:before="60" w:after="60"/>
              <w:jc w:val="center"/>
              <w:rPr>
                <w:rFonts w:cs="Calibri"/>
              </w:rPr>
            </w:pPr>
            <w:r w:rsidRPr="00F2367A">
              <w:rPr>
                <w:rFonts w:cs="Calibri"/>
              </w:rPr>
              <w:t>Develop IER checklist final draft.</w:t>
            </w:r>
          </w:p>
        </w:tc>
        <w:tc>
          <w:tcPr>
            <w:tcW w:w="2258" w:type="dxa"/>
            <w:shd w:val="clear" w:color="auto" w:fill="auto"/>
            <w:vAlign w:val="center"/>
          </w:tcPr>
          <w:p w14:paraId="3D1FCCEE" w14:textId="77777777" w:rsidR="00F2367A" w:rsidRPr="00F2367A" w:rsidRDefault="00F2367A" w:rsidP="008C6127">
            <w:pPr>
              <w:pStyle w:val="KeinLeerraum"/>
              <w:spacing w:before="60" w:after="60"/>
              <w:jc w:val="center"/>
              <w:rPr>
                <w:rFonts w:cs="Calibri"/>
              </w:rPr>
            </w:pPr>
            <w:r w:rsidRPr="00F2367A">
              <w:rPr>
                <w:rFonts w:cs="Calibri"/>
              </w:rPr>
              <w:t>Finalise recommended changes to checklist and Manual C.</w:t>
            </w:r>
          </w:p>
          <w:p w14:paraId="08058F38" w14:textId="77777777" w:rsidR="00F2367A" w:rsidRPr="00F2367A" w:rsidRDefault="00F2367A" w:rsidP="008C6127">
            <w:pPr>
              <w:pStyle w:val="KeinLeerraum"/>
              <w:spacing w:before="60" w:after="60"/>
              <w:jc w:val="center"/>
              <w:rPr>
                <w:rFonts w:cs="Calibri"/>
              </w:rPr>
            </w:pPr>
            <w:r w:rsidRPr="00F2367A">
              <w:rPr>
                <w:rFonts w:cs="Calibri"/>
              </w:rPr>
              <w:t>Hand over Manual C changes to GRG.</w:t>
            </w:r>
          </w:p>
        </w:tc>
      </w:tr>
      <w:tr w:rsidR="00F2367A" w:rsidRPr="00B551A1" w14:paraId="714B586D" w14:textId="77777777" w:rsidTr="00B32C04">
        <w:tc>
          <w:tcPr>
            <w:tcW w:w="2237" w:type="dxa"/>
            <w:vMerge/>
            <w:shd w:val="clear" w:color="auto" w:fill="auto"/>
            <w:vAlign w:val="center"/>
          </w:tcPr>
          <w:p w14:paraId="2D54F343" w14:textId="77777777" w:rsidR="00F2367A" w:rsidRPr="00F2367A" w:rsidRDefault="00F2367A" w:rsidP="008C6127">
            <w:pPr>
              <w:pStyle w:val="KeinLeerraum"/>
              <w:spacing w:before="60" w:after="60"/>
              <w:jc w:val="center"/>
              <w:rPr>
                <w:rFonts w:cs="Calibri"/>
              </w:rPr>
            </w:pPr>
          </w:p>
        </w:tc>
        <w:tc>
          <w:tcPr>
            <w:tcW w:w="6779" w:type="dxa"/>
            <w:gridSpan w:val="3"/>
            <w:shd w:val="clear" w:color="auto" w:fill="auto"/>
            <w:vAlign w:val="center"/>
          </w:tcPr>
          <w:p w14:paraId="2F0516E0" w14:textId="07449317" w:rsidR="00F2367A" w:rsidRPr="00F2367A" w:rsidRDefault="00F2367A" w:rsidP="008C6127">
            <w:pPr>
              <w:pStyle w:val="KeinLeerraum"/>
              <w:spacing w:before="60" w:after="60"/>
              <w:jc w:val="center"/>
              <w:rPr>
                <w:rFonts w:cs="Calibri"/>
              </w:rPr>
            </w:pPr>
            <w:r w:rsidRPr="00F2367A">
              <w:rPr>
                <w:rFonts w:cs="Calibri"/>
              </w:rPr>
              <w:t>Finalise ppt</w:t>
            </w:r>
            <w:r w:rsidR="000F3408">
              <w:rPr>
                <w:rFonts w:cs="Calibri"/>
              </w:rPr>
              <w:t>s</w:t>
            </w:r>
            <w:r w:rsidRPr="00F2367A">
              <w:rPr>
                <w:rFonts w:cs="Calibri"/>
              </w:rPr>
              <w:t xml:space="preserve"> (“Team Leaders meeting” and “Regional meetings”)</w:t>
            </w:r>
          </w:p>
        </w:tc>
      </w:tr>
      <w:tr w:rsidR="00F2367A" w:rsidRPr="00B551A1" w14:paraId="77C7F3F3" w14:textId="77777777" w:rsidTr="00B32C04">
        <w:tc>
          <w:tcPr>
            <w:tcW w:w="2237" w:type="dxa"/>
            <w:shd w:val="clear" w:color="auto" w:fill="auto"/>
            <w:vAlign w:val="center"/>
          </w:tcPr>
          <w:p w14:paraId="583A56EE" w14:textId="77777777" w:rsidR="00F2367A" w:rsidRPr="00F2367A" w:rsidRDefault="00F2367A" w:rsidP="008C6127">
            <w:pPr>
              <w:pStyle w:val="KeinLeerraum"/>
              <w:spacing w:before="60" w:after="60"/>
              <w:jc w:val="center"/>
              <w:rPr>
                <w:rFonts w:cs="Calibri"/>
              </w:rPr>
            </w:pPr>
            <w:r w:rsidRPr="00F2367A">
              <w:rPr>
                <w:rFonts w:cs="Calibri"/>
              </w:rPr>
              <w:t>Regional meeting:</w:t>
            </w:r>
          </w:p>
          <w:p w14:paraId="5125BE2E" w14:textId="3E0A05B8" w:rsidR="00F2367A" w:rsidRPr="00F2367A" w:rsidRDefault="00B32C04" w:rsidP="008C6127">
            <w:pPr>
              <w:pStyle w:val="KeinLeerraum"/>
              <w:spacing w:before="60" w:after="60"/>
              <w:jc w:val="center"/>
              <w:rPr>
                <w:rFonts w:cs="Calibri"/>
              </w:rPr>
            </w:pPr>
            <w:r w:rsidRPr="00B32C04">
              <w:rPr>
                <w:rFonts w:cs="Calibri"/>
              </w:rPr>
              <w:t xml:space="preserve">AEME </w:t>
            </w:r>
            <w:r>
              <w:rPr>
                <w:rFonts w:cs="Calibri"/>
              </w:rPr>
              <w:t>(</w:t>
            </w:r>
            <w:r w:rsidRPr="00B32C04">
              <w:rPr>
                <w:rFonts w:cs="Calibri"/>
              </w:rPr>
              <w:t>Italy</w:t>
            </w:r>
            <w:r>
              <w:rPr>
                <w:rFonts w:cs="Calibri"/>
              </w:rPr>
              <w:t>)</w:t>
            </w:r>
          </w:p>
          <w:p w14:paraId="2FFDBCC2" w14:textId="6F3BBBB6" w:rsidR="00F2367A" w:rsidRPr="00F2367A" w:rsidRDefault="00F2367A" w:rsidP="008C6127">
            <w:pPr>
              <w:pStyle w:val="KeinLeerraum"/>
              <w:spacing w:before="60" w:after="60"/>
              <w:jc w:val="center"/>
              <w:rPr>
                <w:rFonts w:cs="Calibri"/>
              </w:rPr>
            </w:pPr>
            <w:r w:rsidRPr="00F2367A">
              <w:rPr>
                <w:rFonts w:cs="Calibri"/>
              </w:rPr>
              <w:t>October 201</w:t>
            </w:r>
            <w:r w:rsidR="00B32C04">
              <w:rPr>
                <w:rFonts w:cs="Calibri"/>
              </w:rPr>
              <w:t>9</w:t>
            </w:r>
            <w:r w:rsidR="006F07B8">
              <w:rPr>
                <w:rFonts w:cs="Calibri"/>
              </w:rPr>
              <w:t xml:space="preserve"> TBC</w:t>
            </w:r>
          </w:p>
        </w:tc>
        <w:tc>
          <w:tcPr>
            <w:tcW w:w="6779" w:type="dxa"/>
            <w:gridSpan w:val="3"/>
            <w:shd w:val="clear" w:color="auto" w:fill="auto"/>
            <w:vAlign w:val="center"/>
          </w:tcPr>
          <w:p w14:paraId="343F3458" w14:textId="0152280B" w:rsidR="00F2367A" w:rsidRPr="00F2367A" w:rsidRDefault="00F2367A" w:rsidP="008C6127">
            <w:pPr>
              <w:pStyle w:val="KeinLeerraum"/>
              <w:spacing w:before="60" w:after="60"/>
              <w:jc w:val="center"/>
              <w:rPr>
                <w:rFonts w:cs="Calibri"/>
              </w:rPr>
            </w:pPr>
            <w:r w:rsidRPr="00F2367A">
              <w:rPr>
                <w:rFonts w:cs="Calibri"/>
              </w:rPr>
              <w:t>Present “</w:t>
            </w:r>
            <w:r w:rsidR="007268EB">
              <w:rPr>
                <w:rFonts w:cs="Calibri"/>
              </w:rPr>
              <w:t>IM</w:t>
            </w:r>
            <w:r w:rsidRPr="00F2367A">
              <w:rPr>
                <w:rFonts w:cs="Calibri"/>
              </w:rPr>
              <w:t>WG updates – Regional meeting” update ppt</w:t>
            </w:r>
          </w:p>
        </w:tc>
      </w:tr>
      <w:tr w:rsidR="00F2367A" w:rsidRPr="00B551A1" w14:paraId="768A8FF7" w14:textId="77777777" w:rsidTr="00B32C04">
        <w:tc>
          <w:tcPr>
            <w:tcW w:w="2237" w:type="dxa"/>
            <w:shd w:val="clear" w:color="auto" w:fill="auto"/>
            <w:vAlign w:val="center"/>
          </w:tcPr>
          <w:p w14:paraId="4CE6A544" w14:textId="77777777" w:rsidR="00F2367A" w:rsidRPr="00F2367A" w:rsidRDefault="00F2367A" w:rsidP="008C6127">
            <w:pPr>
              <w:pStyle w:val="KeinLeerraum"/>
              <w:spacing w:before="60" w:after="60"/>
              <w:jc w:val="center"/>
              <w:rPr>
                <w:rFonts w:cs="Calibri"/>
              </w:rPr>
            </w:pPr>
            <w:r w:rsidRPr="00F2367A">
              <w:rPr>
                <w:rFonts w:cs="Calibri"/>
              </w:rPr>
              <w:t>Regional meeting:</w:t>
            </w:r>
          </w:p>
          <w:p w14:paraId="475F026F" w14:textId="209B0C00" w:rsidR="00F2367A" w:rsidRPr="00F2367A" w:rsidRDefault="00F2367A" w:rsidP="008C6127">
            <w:pPr>
              <w:pStyle w:val="KeinLeerraum"/>
              <w:spacing w:before="60" w:after="60"/>
              <w:jc w:val="center"/>
              <w:rPr>
                <w:rFonts w:cs="Calibri"/>
              </w:rPr>
            </w:pPr>
            <w:r w:rsidRPr="00F2367A">
              <w:rPr>
                <w:rFonts w:cs="Calibri"/>
              </w:rPr>
              <w:t xml:space="preserve">America’s </w:t>
            </w:r>
            <w:r w:rsidR="00B32C04">
              <w:rPr>
                <w:rFonts w:cs="Calibri"/>
              </w:rPr>
              <w:t>(Argentina</w:t>
            </w:r>
            <w:r w:rsidRPr="00F2367A">
              <w:rPr>
                <w:rFonts w:cs="Calibri"/>
              </w:rPr>
              <w:t>)</w:t>
            </w:r>
          </w:p>
          <w:p w14:paraId="22ED4946" w14:textId="1C5C7E5B" w:rsidR="00F2367A" w:rsidRPr="00F2367A" w:rsidRDefault="006F07B8" w:rsidP="008C6127">
            <w:pPr>
              <w:pStyle w:val="KeinLeerraum"/>
              <w:spacing w:before="60" w:after="60"/>
              <w:jc w:val="center"/>
              <w:rPr>
                <w:rFonts w:cs="Calibri"/>
              </w:rPr>
            </w:pPr>
            <w:r>
              <w:rPr>
                <w:rFonts w:cs="Calibri"/>
              </w:rPr>
              <w:t xml:space="preserve">5-7 </w:t>
            </w:r>
            <w:r w:rsidR="00F2367A" w:rsidRPr="00F2367A">
              <w:rPr>
                <w:rFonts w:cs="Calibri"/>
              </w:rPr>
              <w:t>November 201</w:t>
            </w:r>
            <w:r w:rsidR="00B32C04">
              <w:rPr>
                <w:rFonts w:cs="Calibri"/>
              </w:rPr>
              <w:t>9</w:t>
            </w:r>
          </w:p>
        </w:tc>
        <w:tc>
          <w:tcPr>
            <w:tcW w:w="6779" w:type="dxa"/>
            <w:gridSpan w:val="3"/>
            <w:shd w:val="clear" w:color="auto" w:fill="auto"/>
            <w:vAlign w:val="center"/>
          </w:tcPr>
          <w:p w14:paraId="0420B9F5" w14:textId="7D80735E" w:rsidR="00F2367A" w:rsidRPr="00F2367A" w:rsidRDefault="00F2367A" w:rsidP="008C6127">
            <w:pPr>
              <w:pStyle w:val="KeinLeerraum"/>
              <w:spacing w:before="60" w:after="60"/>
              <w:jc w:val="center"/>
              <w:rPr>
                <w:rFonts w:cs="Calibri"/>
              </w:rPr>
            </w:pPr>
            <w:r w:rsidRPr="00F2367A">
              <w:rPr>
                <w:rFonts w:cs="Calibri"/>
              </w:rPr>
              <w:t>Present “</w:t>
            </w:r>
            <w:r w:rsidR="007268EB">
              <w:rPr>
                <w:rFonts w:cs="Calibri"/>
              </w:rPr>
              <w:t>IM</w:t>
            </w:r>
            <w:r w:rsidRPr="00F2367A">
              <w:rPr>
                <w:rFonts w:cs="Calibri"/>
              </w:rPr>
              <w:t>WG updates – Regional meeting” update ppt</w:t>
            </w:r>
          </w:p>
        </w:tc>
      </w:tr>
      <w:tr w:rsidR="006F07B8" w:rsidRPr="00B551A1" w14:paraId="5F5CBB14" w14:textId="77777777" w:rsidTr="00B32C04">
        <w:tc>
          <w:tcPr>
            <w:tcW w:w="2237" w:type="dxa"/>
            <w:shd w:val="clear" w:color="auto" w:fill="auto"/>
            <w:vAlign w:val="center"/>
          </w:tcPr>
          <w:p w14:paraId="6AF62178" w14:textId="17C3B8BE" w:rsidR="006F07B8" w:rsidRPr="00F2367A" w:rsidRDefault="006F07B8" w:rsidP="006F07B8">
            <w:pPr>
              <w:pStyle w:val="KeinLeerraum"/>
              <w:spacing w:before="60" w:after="60"/>
              <w:jc w:val="center"/>
              <w:rPr>
                <w:rFonts w:cs="Calibri"/>
              </w:rPr>
            </w:pPr>
          </w:p>
        </w:tc>
        <w:tc>
          <w:tcPr>
            <w:tcW w:w="6779" w:type="dxa"/>
            <w:gridSpan w:val="3"/>
            <w:shd w:val="clear" w:color="auto" w:fill="auto"/>
            <w:vAlign w:val="center"/>
          </w:tcPr>
          <w:p w14:paraId="7F6EF93E" w14:textId="4A9316B5" w:rsidR="006F07B8" w:rsidRPr="00F2367A" w:rsidRDefault="006F07B8">
            <w:pPr>
              <w:pStyle w:val="KeinLeerraum"/>
              <w:spacing w:before="60" w:after="60"/>
              <w:jc w:val="center"/>
              <w:rPr>
                <w:rFonts w:cs="Calibri"/>
              </w:rPr>
            </w:pPr>
          </w:p>
        </w:tc>
      </w:tr>
      <w:tr w:rsidR="00F2367A" w:rsidRPr="00B551A1" w14:paraId="56A1917D" w14:textId="77777777" w:rsidTr="00B32C04">
        <w:tc>
          <w:tcPr>
            <w:tcW w:w="2237" w:type="dxa"/>
            <w:shd w:val="clear" w:color="auto" w:fill="auto"/>
            <w:vAlign w:val="center"/>
          </w:tcPr>
          <w:p w14:paraId="7F2976E6" w14:textId="0D4128B7" w:rsidR="00F2367A" w:rsidRPr="00F2367A" w:rsidRDefault="00F2367A" w:rsidP="00B32C04">
            <w:pPr>
              <w:pStyle w:val="KeinLeerraum"/>
              <w:spacing w:before="60" w:after="60"/>
              <w:jc w:val="center"/>
              <w:rPr>
                <w:rFonts w:cs="Calibri"/>
              </w:rPr>
            </w:pPr>
          </w:p>
        </w:tc>
        <w:tc>
          <w:tcPr>
            <w:tcW w:w="2260" w:type="dxa"/>
            <w:shd w:val="clear" w:color="auto" w:fill="auto"/>
            <w:vAlign w:val="center"/>
          </w:tcPr>
          <w:p w14:paraId="74C343C5" w14:textId="30EB9331" w:rsidR="00F2367A" w:rsidRPr="00F2367A" w:rsidRDefault="00F2367A" w:rsidP="008C6127">
            <w:pPr>
              <w:pStyle w:val="KeinLeerraum"/>
              <w:spacing w:before="60" w:after="60"/>
              <w:jc w:val="center"/>
              <w:rPr>
                <w:rFonts w:cs="Calibri"/>
              </w:rPr>
            </w:pPr>
          </w:p>
        </w:tc>
        <w:tc>
          <w:tcPr>
            <w:tcW w:w="2261" w:type="dxa"/>
            <w:shd w:val="clear" w:color="auto" w:fill="auto"/>
            <w:vAlign w:val="center"/>
          </w:tcPr>
          <w:p w14:paraId="020BE444" w14:textId="66A70805" w:rsidR="00F2367A" w:rsidRPr="00F2367A" w:rsidRDefault="00F2367A" w:rsidP="008C6127">
            <w:pPr>
              <w:pStyle w:val="KeinLeerraum"/>
              <w:spacing w:before="60" w:after="60"/>
              <w:jc w:val="center"/>
              <w:rPr>
                <w:rFonts w:cs="Calibri"/>
              </w:rPr>
            </w:pPr>
          </w:p>
        </w:tc>
        <w:tc>
          <w:tcPr>
            <w:tcW w:w="2258" w:type="dxa"/>
            <w:shd w:val="clear" w:color="auto" w:fill="auto"/>
            <w:vAlign w:val="center"/>
          </w:tcPr>
          <w:p w14:paraId="1D40B662" w14:textId="120BB838" w:rsidR="00F2367A" w:rsidRPr="00F2367A" w:rsidRDefault="00F2367A" w:rsidP="008C6127">
            <w:pPr>
              <w:pStyle w:val="KeinLeerraum"/>
              <w:spacing w:before="60" w:after="60"/>
              <w:jc w:val="center"/>
              <w:rPr>
                <w:rFonts w:cs="Calibri"/>
              </w:rPr>
            </w:pPr>
          </w:p>
        </w:tc>
      </w:tr>
    </w:tbl>
    <w:p w14:paraId="4E86D349" w14:textId="77777777" w:rsidR="00361962" w:rsidRPr="00C22EA2" w:rsidRDefault="00361962" w:rsidP="00361962">
      <w:pPr>
        <w:pStyle w:val="KeinLeerraum"/>
        <w:rPr>
          <w:rFonts w:cs="Calibri"/>
          <w:color w:val="FF0000"/>
        </w:rPr>
      </w:pPr>
    </w:p>
    <w:p w14:paraId="7C7D05C3" w14:textId="77777777" w:rsidR="00D95D82" w:rsidRPr="0001244B" w:rsidRDefault="00D95D82" w:rsidP="00361962">
      <w:pPr>
        <w:pStyle w:val="KeinLeerraum"/>
        <w:rPr>
          <w:rFonts w:cs="Calibri"/>
          <w:color w:val="FF0000"/>
        </w:rPr>
      </w:pPr>
    </w:p>
    <w:p w14:paraId="151A2C1C" w14:textId="281AE7DE" w:rsidR="005A1306" w:rsidRPr="000F3408" w:rsidRDefault="005A1306" w:rsidP="00361962">
      <w:pPr>
        <w:pStyle w:val="KeinLeerraum"/>
        <w:rPr>
          <w:rFonts w:cs="Calibri"/>
        </w:rPr>
      </w:pPr>
    </w:p>
    <w:p w14:paraId="2B3E043E" w14:textId="4524BD2A" w:rsidR="005A1306" w:rsidRPr="000F3408" w:rsidRDefault="00FA0C43" w:rsidP="00361962">
      <w:pPr>
        <w:pStyle w:val="KeinLeerraum"/>
        <w:rPr>
          <w:rFonts w:cs="Calibri"/>
          <w:lang w:eastAsia="ja-JP"/>
        </w:rPr>
      </w:pPr>
      <w:r w:rsidRPr="000F3408">
        <w:rPr>
          <w:rFonts w:cs="Calibri" w:hint="eastAsia"/>
          <w:lang w:eastAsia="ja-JP"/>
        </w:rPr>
        <w:t>Acknowledgement:</w:t>
      </w:r>
    </w:p>
    <w:p w14:paraId="6E37F213" w14:textId="0FDAB026" w:rsidR="00221B4C" w:rsidRPr="000F3408" w:rsidRDefault="00221B4C" w:rsidP="00594D58">
      <w:pPr>
        <w:pStyle w:val="KeinLeerraum"/>
        <w:rPr>
          <w:rFonts w:cs="Calibri"/>
          <w:lang w:eastAsia="ja-JP"/>
        </w:rPr>
      </w:pPr>
      <w:r w:rsidRPr="000F3408">
        <w:rPr>
          <w:rFonts w:cs="Calibri"/>
          <w:lang w:eastAsia="ja-JP"/>
        </w:rPr>
        <w:t>-</w:t>
      </w:r>
      <w:r w:rsidR="00626D31" w:rsidRPr="000F3408">
        <w:rPr>
          <w:rFonts w:cs="Calibri"/>
          <w:lang w:eastAsia="ja-JP"/>
        </w:rPr>
        <w:t>IM</w:t>
      </w:r>
      <w:r w:rsidR="00FA0C43" w:rsidRPr="000F3408">
        <w:rPr>
          <w:rFonts w:cs="Calibri"/>
          <w:lang w:eastAsia="ja-JP"/>
        </w:rPr>
        <w:t>WG was h</w:t>
      </w:r>
      <w:r w:rsidR="00626D31" w:rsidRPr="000F3408">
        <w:rPr>
          <w:rFonts w:cs="Calibri"/>
          <w:lang w:eastAsia="ja-JP"/>
        </w:rPr>
        <w:t xml:space="preserve">osted by DEMA College </w:t>
      </w:r>
      <w:proofErr w:type="spellStart"/>
      <w:r w:rsidR="00626D31" w:rsidRPr="000F3408">
        <w:rPr>
          <w:rFonts w:cs="Calibri"/>
          <w:lang w:eastAsia="ja-JP"/>
        </w:rPr>
        <w:t>Tinglev</w:t>
      </w:r>
      <w:proofErr w:type="spellEnd"/>
      <w:r w:rsidR="00626D31" w:rsidRPr="000F3408">
        <w:rPr>
          <w:rFonts w:cs="Calibri"/>
          <w:lang w:eastAsia="ja-JP"/>
        </w:rPr>
        <w:t xml:space="preserve"> and USAR</w:t>
      </w:r>
      <w:r w:rsidR="00FA0C43" w:rsidRPr="000F3408">
        <w:rPr>
          <w:rFonts w:cs="Calibri"/>
          <w:lang w:eastAsia="ja-JP"/>
        </w:rPr>
        <w:t>.</w:t>
      </w:r>
      <w:r w:rsidR="00626D31" w:rsidRPr="000F3408">
        <w:rPr>
          <w:rFonts w:cs="Calibri"/>
          <w:lang w:eastAsia="ja-JP"/>
        </w:rPr>
        <w:t>NL as part of their INSARAG Classification process, i</w:t>
      </w:r>
      <w:r w:rsidRPr="000F3408">
        <w:rPr>
          <w:rFonts w:cs="Calibri"/>
          <w:lang w:eastAsia="ja-JP"/>
        </w:rPr>
        <w:t>ncluding the meeting facilit</w:t>
      </w:r>
      <w:r w:rsidR="000F3408" w:rsidRPr="000F3408">
        <w:rPr>
          <w:rFonts w:cs="Calibri"/>
          <w:lang w:eastAsia="ja-JP"/>
        </w:rPr>
        <w:t>ies</w:t>
      </w:r>
      <w:r w:rsidRPr="000F3408">
        <w:rPr>
          <w:rFonts w:cs="Calibri"/>
          <w:lang w:eastAsia="ja-JP"/>
        </w:rPr>
        <w:t xml:space="preserve">, transportation, accommodation and other supports, </w:t>
      </w:r>
      <w:r w:rsidR="000F3408" w:rsidRPr="000F3408">
        <w:rPr>
          <w:rFonts w:cs="Calibri"/>
          <w:lang w:eastAsia="ja-JP"/>
        </w:rPr>
        <w:t>IM</w:t>
      </w:r>
      <w:r w:rsidRPr="000F3408">
        <w:rPr>
          <w:rFonts w:cs="Calibri"/>
          <w:lang w:eastAsia="ja-JP"/>
        </w:rPr>
        <w:t xml:space="preserve">WG express appreciation </w:t>
      </w:r>
      <w:r w:rsidR="000F3408" w:rsidRPr="000F3408">
        <w:rPr>
          <w:rFonts w:cs="Calibri"/>
          <w:lang w:eastAsia="ja-JP"/>
        </w:rPr>
        <w:t>for this support</w:t>
      </w:r>
      <w:r w:rsidRPr="000F3408">
        <w:rPr>
          <w:rFonts w:cs="Calibri"/>
          <w:lang w:eastAsia="ja-JP"/>
        </w:rPr>
        <w:t xml:space="preserve">. </w:t>
      </w:r>
    </w:p>
    <w:p w14:paraId="69819E8E" w14:textId="5D1285EE" w:rsidR="00221B4C" w:rsidRDefault="00874B93">
      <w:pPr>
        <w:pStyle w:val="KeinLeerraum"/>
        <w:rPr>
          <w:rFonts w:cs="Calibri"/>
          <w:lang w:eastAsia="ja-JP"/>
        </w:rPr>
      </w:pPr>
      <w:r w:rsidRPr="000F3408">
        <w:rPr>
          <w:rFonts w:cs="Calibri"/>
          <w:lang w:eastAsia="ja-JP"/>
        </w:rPr>
        <w:t>of UK, Netherland</w:t>
      </w:r>
      <w:r w:rsidR="00FE11C3" w:rsidRPr="000F3408">
        <w:rPr>
          <w:rFonts w:cs="Calibri"/>
          <w:lang w:eastAsia="ja-JP"/>
        </w:rPr>
        <w:t>s</w:t>
      </w:r>
      <w:r w:rsidRPr="000F3408">
        <w:rPr>
          <w:rFonts w:cs="Calibri"/>
          <w:lang w:eastAsia="ja-JP"/>
        </w:rPr>
        <w:t xml:space="preserve"> and New Zealand </w:t>
      </w:r>
      <w:r w:rsidR="00447CDA" w:rsidRPr="000F3408">
        <w:rPr>
          <w:rFonts w:cs="Calibri"/>
          <w:lang w:eastAsia="ja-JP"/>
        </w:rPr>
        <w:t>to make them available for the work of TWG.</w:t>
      </w:r>
    </w:p>
    <w:p w14:paraId="2AA8E09E" w14:textId="2BBDD495" w:rsidR="000F3408" w:rsidRDefault="000F3408">
      <w:pPr>
        <w:pStyle w:val="KeinLeerraum"/>
        <w:rPr>
          <w:rFonts w:cs="Calibri"/>
          <w:lang w:eastAsia="ja-JP"/>
        </w:rPr>
      </w:pPr>
    </w:p>
    <w:p w14:paraId="2C912109" w14:textId="56AD25FE" w:rsidR="000F3408" w:rsidRDefault="000F3408">
      <w:pPr>
        <w:pStyle w:val="KeinLeerraum"/>
        <w:rPr>
          <w:rFonts w:cs="Calibri"/>
          <w:lang w:eastAsia="ja-JP"/>
        </w:rPr>
      </w:pPr>
    </w:p>
    <w:p w14:paraId="4B97654D" w14:textId="0A16279F" w:rsidR="000F3408" w:rsidRDefault="000F3408">
      <w:pPr>
        <w:pStyle w:val="KeinLeerraum"/>
        <w:rPr>
          <w:rFonts w:cs="Calibri"/>
          <w:lang w:eastAsia="ja-JP"/>
        </w:rPr>
      </w:pPr>
    </w:p>
    <w:p w14:paraId="0EFAC0C7" w14:textId="44C246BE" w:rsidR="000F3408" w:rsidRDefault="000F3408">
      <w:pPr>
        <w:pStyle w:val="KeinLeerraum"/>
        <w:rPr>
          <w:rFonts w:cs="Calibri"/>
          <w:lang w:eastAsia="ja-JP"/>
        </w:rPr>
      </w:pPr>
    </w:p>
    <w:p w14:paraId="6C20C68E" w14:textId="406E2621" w:rsidR="000F3408" w:rsidRDefault="000F3408">
      <w:pPr>
        <w:pStyle w:val="KeinLeerraum"/>
        <w:rPr>
          <w:rFonts w:cs="Calibri"/>
          <w:lang w:eastAsia="ja-JP"/>
        </w:rPr>
      </w:pPr>
    </w:p>
    <w:p w14:paraId="5CB9933B" w14:textId="77777777" w:rsidR="000F3408" w:rsidRPr="000F3408" w:rsidRDefault="000F3408">
      <w:pPr>
        <w:pStyle w:val="KeinLeerraum"/>
        <w:rPr>
          <w:rFonts w:cs="Calibri"/>
          <w:lang w:eastAsia="ja-JP"/>
        </w:rPr>
      </w:pPr>
    </w:p>
    <w:p w14:paraId="49D95C6F" w14:textId="32BBE0F9" w:rsidR="00981D1B" w:rsidRDefault="00981D1B" w:rsidP="00981D1B">
      <w:pPr>
        <w:pStyle w:val="KeinLeerraum"/>
        <w:rPr>
          <w:rFonts w:cs="Calibri"/>
          <w:color w:val="FF0000"/>
        </w:rPr>
      </w:pPr>
    </w:p>
    <w:tbl>
      <w:tblPr>
        <w:tblStyle w:val="Tabellenraster"/>
        <w:tblW w:w="10065" w:type="dxa"/>
        <w:tblInd w:w="-572" w:type="dxa"/>
        <w:tblLayout w:type="fixed"/>
        <w:tblLook w:val="04A0" w:firstRow="1" w:lastRow="0" w:firstColumn="1" w:lastColumn="0" w:noHBand="0" w:noVBand="1"/>
      </w:tblPr>
      <w:tblGrid>
        <w:gridCol w:w="3261"/>
        <w:gridCol w:w="1417"/>
        <w:gridCol w:w="4253"/>
        <w:gridCol w:w="1134"/>
      </w:tblGrid>
      <w:tr w:rsidR="00981D1B" w14:paraId="54454D27" w14:textId="77777777" w:rsidTr="009E27C0">
        <w:trPr>
          <w:trHeight w:val="806"/>
        </w:trPr>
        <w:tc>
          <w:tcPr>
            <w:tcW w:w="3261" w:type="dxa"/>
            <w:shd w:val="clear" w:color="auto" w:fill="D9D9D9" w:themeFill="background1" w:themeFillShade="D9"/>
          </w:tcPr>
          <w:p w14:paraId="3417DB6F" w14:textId="77777777" w:rsidR="00981D1B" w:rsidRPr="0071097A" w:rsidRDefault="00981D1B" w:rsidP="009E27C0">
            <w:pPr>
              <w:pStyle w:val="KeinLeerraum"/>
              <w:rPr>
                <w:b/>
              </w:rPr>
            </w:pPr>
            <w:r w:rsidRPr="0071097A">
              <w:rPr>
                <w:b/>
              </w:rPr>
              <w:lastRenderedPageBreak/>
              <w:t xml:space="preserve">ACTION </w:t>
            </w:r>
          </w:p>
        </w:tc>
        <w:tc>
          <w:tcPr>
            <w:tcW w:w="1417" w:type="dxa"/>
            <w:shd w:val="clear" w:color="auto" w:fill="D9D9D9" w:themeFill="background1" w:themeFillShade="D9"/>
          </w:tcPr>
          <w:p w14:paraId="124A0EC3" w14:textId="77777777" w:rsidR="00981D1B" w:rsidRPr="0071097A" w:rsidRDefault="00981D1B" w:rsidP="009E27C0">
            <w:pPr>
              <w:pStyle w:val="KeinLeerraum"/>
              <w:rPr>
                <w:b/>
              </w:rPr>
            </w:pPr>
            <w:r w:rsidRPr="0071097A">
              <w:rPr>
                <w:b/>
              </w:rPr>
              <w:t>Responsible</w:t>
            </w:r>
          </w:p>
        </w:tc>
        <w:tc>
          <w:tcPr>
            <w:tcW w:w="4253" w:type="dxa"/>
            <w:shd w:val="clear" w:color="auto" w:fill="D9D9D9" w:themeFill="background1" w:themeFillShade="D9"/>
          </w:tcPr>
          <w:p w14:paraId="3E2515B9" w14:textId="77777777" w:rsidR="00981D1B" w:rsidRPr="0071097A" w:rsidRDefault="00981D1B" w:rsidP="009E27C0">
            <w:pPr>
              <w:pStyle w:val="KeinLeerraum"/>
              <w:rPr>
                <w:b/>
              </w:rPr>
            </w:pPr>
            <w:r w:rsidRPr="0071097A">
              <w:rPr>
                <w:b/>
              </w:rPr>
              <w:t>Reason / Outcome</w:t>
            </w:r>
          </w:p>
        </w:tc>
        <w:tc>
          <w:tcPr>
            <w:tcW w:w="1134" w:type="dxa"/>
            <w:shd w:val="clear" w:color="auto" w:fill="D9D9D9" w:themeFill="background1" w:themeFillShade="D9"/>
          </w:tcPr>
          <w:p w14:paraId="2FBF2D9B" w14:textId="77777777" w:rsidR="00981D1B" w:rsidRPr="0071097A" w:rsidRDefault="00981D1B" w:rsidP="009E27C0">
            <w:pPr>
              <w:pStyle w:val="KeinLeerraum"/>
              <w:rPr>
                <w:b/>
              </w:rPr>
            </w:pPr>
            <w:r>
              <w:rPr>
                <w:b/>
              </w:rPr>
              <w:t>Deadline</w:t>
            </w:r>
          </w:p>
        </w:tc>
      </w:tr>
      <w:tr w:rsidR="00981D1B" w14:paraId="747EC881" w14:textId="77777777" w:rsidTr="00FA7960">
        <w:trPr>
          <w:trHeight w:val="709"/>
        </w:trPr>
        <w:tc>
          <w:tcPr>
            <w:tcW w:w="3261" w:type="dxa"/>
          </w:tcPr>
          <w:p w14:paraId="01ADB3B4" w14:textId="6D5D48E0" w:rsidR="00981D1B" w:rsidRPr="0071097A" w:rsidRDefault="00F74ACE" w:rsidP="009E27C0">
            <w:pPr>
              <w:pStyle w:val="KeinLeerraum"/>
            </w:pPr>
            <w:r>
              <w:t xml:space="preserve">Update UC Manual to reflect the Planning Process and DCT </w:t>
            </w:r>
          </w:p>
        </w:tc>
        <w:tc>
          <w:tcPr>
            <w:tcW w:w="1417" w:type="dxa"/>
          </w:tcPr>
          <w:p w14:paraId="7FD3AE65" w14:textId="645EB82C" w:rsidR="00981D1B" w:rsidRPr="0071097A" w:rsidRDefault="00981D1B" w:rsidP="009E27C0">
            <w:pPr>
              <w:pStyle w:val="KeinLeerraum"/>
            </w:pPr>
          </w:p>
        </w:tc>
        <w:tc>
          <w:tcPr>
            <w:tcW w:w="4253" w:type="dxa"/>
          </w:tcPr>
          <w:p w14:paraId="76D646C3" w14:textId="6211EA84" w:rsidR="00981D1B" w:rsidRPr="0071097A" w:rsidRDefault="00981D1B" w:rsidP="009E27C0">
            <w:pPr>
              <w:pStyle w:val="KeinLeerraum"/>
            </w:pPr>
          </w:p>
        </w:tc>
        <w:tc>
          <w:tcPr>
            <w:tcW w:w="1134" w:type="dxa"/>
          </w:tcPr>
          <w:p w14:paraId="1565912B" w14:textId="156417E3" w:rsidR="00981D1B" w:rsidRPr="0071097A" w:rsidRDefault="00981D1B" w:rsidP="009E27C0">
            <w:pPr>
              <w:pStyle w:val="KeinLeerraum"/>
            </w:pPr>
          </w:p>
        </w:tc>
      </w:tr>
      <w:tr w:rsidR="00981D1B" w14:paraId="5283FE88" w14:textId="77777777" w:rsidTr="009E27C0">
        <w:trPr>
          <w:trHeight w:val="623"/>
        </w:trPr>
        <w:tc>
          <w:tcPr>
            <w:tcW w:w="3261" w:type="dxa"/>
          </w:tcPr>
          <w:p w14:paraId="3EDEEB4F" w14:textId="4000343C" w:rsidR="00981D1B" w:rsidRPr="0071097A" w:rsidRDefault="00740B84" w:rsidP="009E27C0">
            <w:pPr>
              <w:pStyle w:val="KeinLeerraum"/>
            </w:pPr>
            <w:r>
              <w:t>ERE integration</w:t>
            </w:r>
            <w:r w:rsidR="001E064D">
              <w:t xml:space="preserve"> Americas-Sept, AEME-Sept, AP-December</w:t>
            </w:r>
          </w:p>
        </w:tc>
        <w:tc>
          <w:tcPr>
            <w:tcW w:w="1417" w:type="dxa"/>
          </w:tcPr>
          <w:p w14:paraId="08F605A7" w14:textId="41633DB8" w:rsidR="00981D1B" w:rsidRPr="0071097A" w:rsidRDefault="00981D1B" w:rsidP="009E27C0">
            <w:pPr>
              <w:pStyle w:val="KeinLeerraum"/>
            </w:pPr>
          </w:p>
        </w:tc>
        <w:tc>
          <w:tcPr>
            <w:tcW w:w="4253" w:type="dxa"/>
          </w:tcPr>
          <w:p w14:paraId="614383E0" w14:textId="59558885" w:rsidR="00981D1B" w:rsidRPr="0071097A" w:rsidRDefault="00981D1B" w:rsidP="009E27C0">
            <w:pPr>
              <w:pStyle w:val="KeinLeerraum"/>
            </w:pPr>
          </w:p>
        </w:tc>
        <w:tc>
          <w:tcPr>
            <w:tcW w:w="1134" w:type="dxa"/>
          </w:tcPr>
          <w:p w14:paraId="762708A8" w14:textId="3BF52885" w:rsidR="00981D1B" w:rsidRPr="0071097A" w:rsidRDefault="00981D1B" w:rsidP="009E27C0">
            <w:pPr>
              <w:pStyle w:val="KeinLeerraum"/>
            </w:pPr>
          </w:p>
        </w:tc>
      </w:tr>
      <w:tr w:rsidR="00981D1B" w14:paraId="3AFA7CE7" w14:textId="77777777" w:rsidTr="00FA7960">
        <w:trPr>
          <w:trHeight w:val="388"/>
        </w:trPr>
        <w:tc>
          <w:tcPr>
            <w:tcW w:w="3261" w:type="dxa"/>
          </w:tcPr>
          <w:p w14:paraId="2CC877A8" w14:textId="053F9775" w:rsidR="00981D1B" w:rsidRPr="0071097A" w:rsidRDefault="001E064D" w:rsidP="009E27C0">
            <w:pPr>
              <w:pStyle w:val="KeinLeerraum"/>
            </w:pPr>
            <w:r>
              <w:t>UC Training Package updates</w:t>
            </w:r>
          </w:p>
        </w:tc>
        <w:tc>
          <w:tcPr>
            <w:tcW w:w="1417" w:type="dxa"/>
          </w:tcPr>
          <w:p w14:paraId="21A3301D" w14:textId="00A92116" w:rsidR="00981D1B" w:rsidRPr="0071097A" w:rsidRDefault="00981D1B" w:rsidP="009E27C0">
            <w:pPr>
              <w:pStyle w:val="KeinLeerraum"/>
            </w:pPr>
          </w:p>
        </w:tc>
        <w:tc>
          <w:tcPr>
            <w:tcW w:w="4253" w:type="dxa"/>
          </w:tcPr>
          <w:p w14:paraId="0C799856" w14:textId="7A40BA9E" w:rsidR="00981D1B" w:rsidRPr="0071097A" w:rsidRDefault="001B4982" w:rsidP="009E27C0">
            <w:pPr>
              <w:pStyle w:val="KeinLeerraum"/>
            </w:pPr>
            <w:proofErr w:type="gramStart"/>
            <w:r>
              <w:t>A number of</w:t>
            </w:r>
            <w:proofErr w:type="gramEnd"/>
            <w:r>
              <w:t xml:space="preserve"> updates are required to ensure the UC Course is current.</w:t>
            </w:r>
          </w:p>
        </w:tc>
        <w:tc>
          <w:tcPr>
            <w:tcW w:w="1134" w:type="dxa"/>
          </w:tcPr>
          <w:p w14:paraId="2FD5DFE1" w14:textId="77777777" w:rsidR="00981D1B" w:rsidRDefault="00981D1B" w:rsidP="009E27C0">
            <w:pPr>
              <w:pStyle w:val="KeinLeerraum"/>
            </w:pPr>
          </w:p>
        </w:tc>
      </w:tr>
      <w:tr w:rsidR="00981D1B" w14:paraId="2ED19B96" w14:textId="77777777" w:rsidTr="009E27C0">
        <w:trPr>
          <w:trHeight w:val="806"/>
        </w:trPr>
        <w:tc>
          <w:tcPr>
            <w:tcW w:w="3261" w:type="dxa"/>
          </w:tcPr>
          <w:p w14:paraId="36966C4E" w14:textId="60EAD5E6" w:rsidR="00981D1B" w:rsidRPr="0071097A" w:rsidRDefault="001E064D" w:rsidP="009E27C0">
            <w:pPr>
              <w:pStyle w:val="KeinLeerraum"/>
            </w:pPr>
            <w:r>
              <w:t>USAR Directory</w:t>
            </w:r>
            <w:r w:rsidR="00934FA2">
              <w:t xml:space="preserve"> is not a functional tool</w:t>
            </w:r>
            <w:r w:rsidR="00FA7960">
              <w:t>, and requires updates</w:t>
            </w:r>
          </w:p>
        </w:tc>
        <w:tc>
          <w:tcPr>
            <w:tcW w:w="1417" w:type="dxa"/>
          </w:tcPr>
          <w:p w14:paraId="43C5C3A1" w14:textId="510A381A" w:rsidR="00981D1B" w:rsidRPr="0071097A" w:rsidRDefault="00981D1B" w:rsidP="009E27C0">
            <w:pPr>
              <w:pStyle w:val="KeinLeerraum"/>
            </w:pPr>
          </w:p>
        </w:tc>
        <w:tc>
          <w:tcPr>
            <w:tcW w:w="4253" w:type="dxa"/>
          </w:tcPr>
          <w:p w14:paraId="14EEC26B" w14:textId="77777777" w:rsidR="00981D1B" w:rsidRDefault="00981D1B" w:rsidP="009E27C0">
            <w:pPr>
              <w:pStyle w:val="KeinLeerraum"/>
            </w:pPr>
          </w:p>
        </w:tc>
        <w:tc>
          <w:tcPr>
            <w:tcW w:w="1134" w:type="dxa"/>
          </w:tcPr>
          <w:p w14:paraId="26A54EED" w14:textId="77777777" w:rsidR="00981D1B" w:rsidRDefault="00981D1B" w:rsidP="009E27C0">
            <w:pPr>
              <w:pStyle w:val="KeinLeerraum"/>
            </w:pPr>
          </w:p>
        </w:tc>
      </w:tr>
      <w:tr w:rsidR="00981D1B" w14:paraId="08F0D9C1" w14:textId="77777777" w:rsidTr="009E27C0">
        <w:trPr>
          <w:trHeight w:val="806"/>
        </w:trPr>
        <w:tc>
          <w:tcPr>
            <w:tcW w:w="3261" w:type="dxa"/>
          </w:tcPr>
          <w:p w14:paraId="3A4A99E4" w14:textId="680D35D5" w:rsidR="00981D1B" w:rsidRDefault="00FA7960" w:rsidP="009E27C0">
            <w:pPr>
              <w:pStyle w:val="KeinLeerraum"/>
            </w:pPr>
            <w:r>
              <w:t xml:space="preserve">Joint INSARAG/UNDAC/IHP projects </w:t>
            </w:r>
          </w:p>
        </w:tc>
        <w:tc>
          <w:tcPr>
            <w:tcW w:w="1417" w:type="dxa"/>
          </w:tcPr>
          <w:p w14:paraId="5AFE95D8" w14:textId="5246640A" w:rsidR="00981D1B" w:rsidRPr="0071097A" w:rsidRDefault="00981D1B" w:rsidP="009E27C0">
            <w:pPr>
              <w:pStyle w:val="KeinLeerraum"/>
            </w:pPr>
          </w:p>
        </w:tc>
        <w:tc>
          <w:tcPr>
            <w:tcW w:w="4253" w:type="dxa"/>
          </w:tcPr>
          <w:p w14:paraId="73C76D63" w14:textId="1E507659" w:rsidR="00981D1B" w:rsidRDefault="00FA7960" w:rsidP="009E27C0">
            <w:pPr>
              <w:pStyle w:val="KeinLeerraum"/>
            </w:pPr>
            <w:r>
              <w:t>Greater collaboration across agencies</w:t>
            </w:r>
            <w:r w:rsidR="001B4982">
              <w:t xml:space="preserve"> to ensure common operating systems.</w:t>
            </w:r>
          </w:p>
        </w:tc>
        <w:tc>
          <w:tcPr>
            <w:tcW w:w="1134" w:type="dxa"/>
          </w:tcPr>
          <w:p w14:paraId="44BC5AB6" w14:textId="77777777" w:rsidR="00981D1B" w:rsidRDefault="00981D1B" w:rsidP="009E27C0">
            <w:pPr>
              <w:pStyle w:val="KeinLeerraum"/>
            </w:pPr>
          </w:p>
        </w:tc>
      </w:tr>
      <w:tr w:rsidR="00981D1B" w14:paraId="518F6F17" w14:textId="77777777" w:rsidTr="009E27C0">
        <w:trPr>
          <w:trHeight w:val="666"/>
        </w:trPr>
        <w:tc>
          <w:tcPr>
            <w:tcW w:w="3261" w:type="dxa"/>
          </w:tcPr>
          <w:p w14:paraId="1ADE683A" w14:textId="1AAD21B5" w:rsidR="00981D1B" w:rsidRDefault="007E71B6" w:rsidP="009E27C0">
            <w:pPr>
              <w:pStyle w:val="KeinLeerraum"/>
            </w:pPr>
            <w:r>
              <w:t>Checklist updates for IEC/R in relation to IM, to include a review of the management position.</w:t>
            </w:r>
          </w:p>
        </w:tc>
        <w:tc>
          <w:tcPr>
            <w:tcW w:w="1417" w:type="dxa"/>
          </w:tcPr>
          <w:p w14:paraId="61514BDD" w14:textId="3F78578D" w:rsidR="00981D1B" w:rsidRDefault="00981D1B" w:rsidP="009E27C0">
            <w:pPr>
              <w:pStyle w:val="KeinLeerraum"/>
            </w:pPr>
          </w:p>
        </w:tc>
        <w:tc>
          <w:tcPr>
            <w:tcW w:w="4253" w:type="dxa"/>
          </w:tcPr>
          <w:p w14:paraId="06D8527A" w14:textId="77777777" w:rsidR="00981D1B" w:rsidRDefault="00981D1B" w:rsidP="009E27C0">
            <w:pPr>
              <w:pStyle w:val="KeinLeerraum"/>
            </w:pPr>
          </w:p>
        </w:tc>
        <w:tc>
          <w:tcPr>
            <w:tcW w:w="1134" w:type="dxa"/>
          </w:tcPr>
          <w:p w14:paraId="33E0C918" w14:textId="77777777" w:rsidR="00981D1B" w:rsidRDefault="00981D1B" w:rsidP="009E27C0">
            <w:pPr>
              <w:pStyle w:val="KeinLeerraum"/>
            </w:pPr>
          </w:p>
        </w:tc>
      </w:tr>
      <w:tr w:rsidR="00FA7960" w14:paraId="1D98FC62" w14:textId="77777777" w:rsidTr="009E27C0">
        <w:trPr>
          <w:trHeight w:val="666"/>
        </w:trPr>
        <w:tc>
          <w:tcPr>
            <w:tcW w:w="3261" w:type="dxa"/>
          </w:tcPr>
          <w:p w14:paraId="281915C8" w14:textId="46EC5F13" w:rsidR="00FA7960" w:rsidRDefault="007E71B6" w:rsidP="009E27C0">
            <w:pPr>
              <w:pStyle w:val="KeinLeerraum"/>
            </w:pPr>
            <w:r>
              <w:t>Building marking review within the Guidelines</w:t>
            </w:r>
          </w:p>
        </w:tc>
        <w:tc>
          <w:tcPr>
            <w:tcW w:w="1417" w:type="dxa"/>
          </w:tcPr>
          <w:p w14:paraId="65655E83" w14:textId="77777777" w:rsidR="00FA7960" w:rsidRDefault="00FA7960" w:rsidP="009E27C0">
            <w:pPr>
              <w:pStyle w:val="KeinLeerraum"/>
            </w:pPr>
          </w:p>
        </w:tc>
        <w:tc>
          <w:tcPr>
            <w:tcW w:w="4253" w:type="dxa"/>
          </w:tcPr>
          <w:p w14:paraId="7CE7C504" w14:textId="5CD02910" w:rsidR="00FA7960" w:rsidRDefault="007E71B6" w:rsidP="009E27C0">
            <w:pPr>
              <w:pStyle w:val="KeinLeerraum"/>
            </w:pPr>
            <w:r>
              <w:t>The use of the Suffix in building marking, seems to cause constant confusion, and is rarely used correctly</w:t>
            </w:r>
          </w:p>
        </w:tc>
        <w:tc>
          <w:tcPr>
            <w:tcW w:w="1134" w:type="dxa"/>
          </w:tcPr>
          <w:p w14:paraId="627E2D34" w14:textId="77777777" w:rsidR="00FA7960" w:rsidRDefault="00FA7960" w:rsidP="009E27C0">
            <w:pPr>
              <w:pStyle w:val="KeinLeerraum"/>
            </w:pPr>
          </w:p>
        </w:tc>
      </w:tr>
      <w:tr w:rsidR="00FA7960" w14:paraId="6F673A5B" w14:textId="77777777" w:rsidTr="009E27C0">
        <w:trPr>
          <w:trHeight w:val="666"/>
        </w:trPr>
        <w:tc>
          <w:tcPr>
            <w:tcW w:w="3261" w:type="dxa"/>
          </w:tcPr>
          <w:p w14:paraId="6EDF35F2" w14:textId="76B5A5EF" w:rsidR="00FA7960" w:rsidRDefault="007E71B6" w:rsidP="009E27C0">
            <w:pPr>
              <w:pStyle w:val="KeinLeerraum"/>
            </w:pPr>
            <w:r>
              <w:t>Exercise Control Training Programm</w:t>
            </w:r>
            <w:r w:rsidR="001059D1">
              <w:t>e</w:t>
            </w:r>
          </w:p>
        </w:tc>
        <w:tc>
          <w:tcPr>
            <w:tcW w:w="1417" w:type="dxa"/>
          </w:tcPr>
          <w:p w14:paraId="042571A4" w14:textId="77777777" w:rsidR="00FA7960" w:rsidRDefault="00FA7960" w:rsidP="009E27C0">
            <w:pPr>
              <w:pStyle w:val="KeinLeerraum"/>
            </w:pPr>
          </w:p>
        </w:tc>
        <w:tc>
          <w:tcPr>
            <w:tcW w:w="4253" w:type="dxa"/>
          </w:tcPr>
          <w:p w14:paraId="2B854346" w14:textId="7655F5EA" w:rsidR="00FA7960" w:rsidRDefault="00D90599" w:rsidP="009E27C0">
            <w:pPr>
              <w:pStyle w:val="KeinLeerraum"/>
            </w:pPr>
            <w:r>
              <w:t>Links to TL/M workstream, and wider implementation</w:t>
            </w:r>
          </w:p>
        </w:tc>
        <w:tc>
          <w:tcPr>
            <w:tcW w:w="1134" w:type="dxa"/>
          </w:tcPr>
          <w:p w14:paraId="32728BBA" w14:textId="77777777" w:rsidR="00FA7960" w:rsidRDefault="00FA7960" w:rsidP="009E27C0">
            <w:pPr>
              <w:pStyle w:val="KeinLeerraum"/>
            </w:pPr>
          </w:p>
        </w:tc>
      </w:tr>
      <w:tr w:rsidR="00FA7960" w14:paraId="33B452DC" w14:textId="77777777" w:rsidTr="009E27C0">
        <w:trPr>
          <w:trHeight w:val="666"/>
        </w:trPr>
        <w:tc>
          <w:tcPr>
            <w:tcW w:w="3261" w:type="dxa"/>
          </w:tcPr>
          <w:p w14:paraId="49B13A5A" w14:textId="00CD3FBA" w:rsidR="00FA7960" w:rsidRDefault="00FA7960" w:rsidP="009E27C0">
            <w:pPr>
              <w:pStyle w:val="KeinLeerraum"/>
            </w:pPr>
          </w:p>
        </w:tc>
        <w:tc>
          <w:tcPr>
            <w:tcW w:w="1417" w:type="dxa"/>
          </w:tcPr>
          <w:p w14:paraId="2F187760" w14:textId="77777777" w:rsidR="00FA7960" w:rsidRDefault="00FA7960" w:rsidP="009E27C0">
            <w:pPr>
              <w:pStyle w:val="KeinLeerraum"/>
            </w:pPr>
          </w:p>
        </w:tc>
        <w:tc>
          <w:tcPr>
            <w:tcW w:w="4253" w:type="dxa"/>
          </w:tcPr>
          <w:p w14:paraId="58A85ED6" w14:textId="77777777" w:rsidR="00FA7960" w:rsidRDefault="00FA7960" w:rsidP="009E27C0">
            <w:pPr>
              <w:pStyle w:val="KeinLeerraum"/>
            </w:pPr>
          </w:p>
        </w:tc>
        <w:tc>
          <w:tcPr>
            <w:tcW w:w="1134" w:type="dxa"/>
          </w:tcPr>
          <w:p w14:paraId="4E4B2417" w14:textId="77777777" w:rsidR="00FA7960" w:rsidRDefault="00FA7960" w:rsidP="009E27C0">
            <w:pPr>
              <w:pStyle w:val="KeinLeerraum"/>
            </w:pPr>
          </w:p>
        </w:tc>
      </w:tr>
      <w:tr w:rsidR="00FA7960" w14:paraId="5D072BE9" w14:textId="77777777" w:rsidTr="009E27C0">
        <w:trPr>
          <w:trHeight w:val="666"/>
        </w:trPr>
        <w:tc>
          <w:tcPr>
            <w:tcW w:w="3261" w:type="dxa"/>
          </w:tcPr>
          <w:p w14:paraId="3BA0CD3E" w14:textId="77777777" w:rsidR="00FA7960" w:rsidRDefault="00FA7960" w:rsidP="009E27C0">
            <w:pPr>
              <w:pStyle w:val="KeinLeerraum"/>
            </w:pPr>
          </w:p>
        </w:tc>
        <w:tc>
          <w:tcPr>
            <w:tcW w:w="1417" w:type="dxa"/>
          </w:tcPr>
          <w:p w14:paraId="22EEA54F" w14:textId="77777777" w:rsidR="00FA7960" w:rsidRDefault="00FA7960" w:rsidP="009E27C0">
            <w:pPr>
              <w:pStyle w:val="KeinLeerraum"/>
            </w:pPr>
          </w:p>
        </w:tc>
        <w:tc>
          <w:tcPr>
            <w:tcW w:w="4253" w:type="dxa"/>
          </w:tcPr>
          <w:p w14:paraId="38487CC0" w14:textId="77777777" w:rsidR="00FA7960" w:rsidRDefault="00FA7960" w:rsidP="009E27C0">
            <w:pPr>
              <w:pStyle w:val="KeinLeerraum"/>
            </w:pPr>
          </w:p>
        </w:tc>
        <w:tc>
          <w:tcPr>
            <w:tcW w:w="1134" w:type="dxa"/>
          </w:tcPr>
          <w:p w14:paraId="4FE69C4E" w14:textId="77777777" w:rsidR="00FA7960" w:rsidRDefault="00FA7960" w:rsidP="009E27C0">
            <w:pPr>
              <w:pStyle w:val="KeinLeerraum"/>
            </w:pPr>
          </w:p>
        </w:tc>
      </w:tr>
    </w:tbl>
    <w:p w14:paraId="6CB27158" w14:textId="77777777" w:rsidR="00981D1B" w:rsidRDefault="00981D1B" w:rsidP="00981D1B">
      <w:pPr>
        <w:pStyle w:val="KeinLeerraum"/>
        <w:rPr>
          <w:rFonts w:cs="Calibri"/>
        </w:rPr>
      </w:pPr>
    </w:p>
    <w:p w14:paraId="774DAE1E" w14:textId="77777777" w:rsidR="00E64820" w:rsidRDefault="00E64820" w:rsidP="007D0A49">
      <w:pPr>
        <w:pStyle w:val="KeinLeerraum"/>
        <w:rPr>
          <w:rFonts w:cs="Calibri"/>
        </w:rPr>
      </w:pPr>
    </w:p>
    <w:p w14:paraId="09C955A1" w14:textId="7A1DA6A3" w:rsidR="00ED08AD" w:rsidRDefault="00E64820" w:rsidP="007D0A49">
      <w:pPr>
        <w:pStyle w:val="KeinLeerraum"/>
        <w:rPr>
          <w:rFonts w:cs="Calibri"/>
        </w:rPr>
      </w:pPr>
      <w:r>
        <w:rPr>
          <w:rFonts w:cs="Calibri"/>
        </w:rPr>
        <w:t>Peter Wolff</w:t>
      </w:r>
    </w:p>
    <w:p w14:paraId="5E8EB13A" w14:textId="1A3250AD" w:rsidR="00E64820" w:rsidRDefault="00E64820" w:rsidP="007D0A49">
      <w:pPr>
        <w:pStyle w:val="KeinLeerraum"/>
        <w:rPr>
          <w:rFonts w:cs="Calibri"/>
        </w:rPr>
      </w:pPr>
      <w:r>
        <w:rPr>
          <w:rFonts w:cs="Calibri"/>
        </w:rPr>
        <w:t xml:space="preserve">IMWG Chair </w:t>
      </w:r>
    </w:p>
    <w:p w14:paraId="375020A2" w14:textId="77777777" w:rsidR="00E64820" w:rsidRPr="00594D58" w:rsidRDefault="00E64820" w:rsidP="007D0A49">
      <w:pPr>
        <w:pStyle w:val="KeinLeerraum"/>
        <w:rPr>
          <w:rFonts w:cs="Calibri"/>
          <w:sz w:val="72"/>
          <w:szCs w:val="72"/>
        </w:rPr>
      </w:pPr>
    </w:p>
    <w:sectPr w:rsidR="00E64820" w:rsidRPr="00594D5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76236" w14:textId="77777777" w:rsidR="00313CB8" w:rsidRDefault="00313CB8" w:rsidP="00F10D41">
      <w:pPr>
        <w:spacing w:after="0" w:line="240" w:lineRule="auto"/>
      </w:pPr>
      <w:r>
        <w:separator/>
      </w:r>
    </w:p>
  </w:endnote>
  <w:endnote w:type="continuationSeparator" w:id="0">
    <w:p w14:paraId="39635ABA" w14:textId="77777777" w:rsidR="00313CB8" w:rsidRDefault="00313CB8" w:rsidP="00F10D41">
      <w:pPr>
        <w:spacing w:after="0" w:line="240" w:lineRule="auto"/>
      </w:pPr>
      <w:r>
        <w:continuationSeparator/>
      </w:r>
    </w:p>
  </w:endnote>
  <w:endnote w:type="continuationNotice" w:id="1">
    <w:p w14:paraId="14699A75" w14:textId="77777777" w:rsidR="00313CB8" w:rsidRDefault="00313C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9AEC1" w14:textId="77777777" w:rsidR="002B6619" w:rsidRDefault="002B66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B4FCC" w14:textId="77777777" w:rsidR="00AD58E7" w:rsidRDefault="001A363B">
    <w:pPr>
      <w:pStyle w:val="Fuzeile"/>
      <w:jc w:val="center"/>
    </w:pPr>
    <w:r>
      <w:rPr>
        <w:noProof/>
        <w:lang w:val="en-US" w:eastAsia="ja-JP"/>
      </w:rPr>
      <mc:AlternateContent>
        <mc:Choice Requires="wps">
          <w:drawing>
            <wp:inline distT="0" distB="0" distL="0" distR="0" wp14:anchorId="3B7E3F2A" wp14:editId="7549FEF4">
              <wp:extent cx="5467350" cy="54610"/>
              <wp:effectExtent l="25400" t="0" r="0" b="0"/>
              <wp:docPr id="64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338A19"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" fillcolor="black">
              <v:path arrowok="t"/>
              <o:lock v:ext="edit" aspectratio="t"/>
              <w10:anchorlock/>
            </v:shape>
          </w:pict>
        </mc:Fallback>
      </mc:AlternateContent>
    </w:r>
  </w:p>
  <w:p w14:paraId="07A1149D" w14:textId="1513064A" w:rsidR="00AD58E7" w:rsidRDefault="00AD58E7">
    <w:pPr>
      <w:pStyle w:val="Fuzeile"/>
      <w:jc w:val="center"/>
    </w:pPr>
    <w:r>
      <w:fldChar w:fldCharType="begin"/>
    </w:r>
    <w:r>
      <w:instrText xml:space="preserve"> PAGE    \* MERGEFORMAT </w:instrText>
    </w:r>
    <w:r>
      <w:fldChar w:fldCharType="separate"/>
    </w:r>
    <w:r w:rsidR="005B4C7E">
      <w:rPr>
        <w:noProof/>
      </w:rPr>
      <w:t>3</w:t>
    </w:r>
    <w:r>
      <w:rPr>
        <w:noProof/>
      </w:rPr>
      <w:fldChar w:fldCharType="end"/>
    </w:r>
  </w:p>
  <w:p w14:paraId="49A073CC" w14:textId="77777777" w:rsidR="00F10D41" w:rsidRDefault="00F10D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2708B" w14:textId="77777777" w:rsidR="002B6619" w:rsidRDefault="002B66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F92B6" w14:textId="77777777" w:rsidR="00313CB8" w:rsidRDefault="00313CB8" w:rsidP="00F10D41">
      <w:pPr>
        <w:spacing w:after="0" w:line="240" w:lineRule="auto"/>
      </w:pPr>
      <w:r>
        <w:separator/>
      </w:r>
    </w:p>
  </w:footnote>
  <w:footnote w:type="continuationSeparator" w:id="0">
    <w:p w14:paraId="62B3CE01" w14:textId="77777777" w:rsidR="00313CB8" w:rsidRDefault="00313CB8" w:rsidP="00F10D41">
      <w:pPr>
        <w:spacing w:after="0" w:line="240" w:lineRule="auto"/>
      </w:pPr>
      <w:r>
        <w:continuationSeparator/>
      </w:r>
    </w:p>
  </w:footnote>
  <w:footnote w:type="continuationNotice" w:id="1">
    <w:p w14:paraId="51EA22B1" w14:textId="77777777" w:rsidR="00313CB8" w:rsidRDefault="00313C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E1F9" w14:textId="3F4DB21C" w:rsidR="002B6619" w:rsidRDefault="002B661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6E1A" w14:textId="22B6AFB8" w:rsidR="002B6619" w:rsidRDefault="002B661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24E10" w14:textId="6C562170" w:rsidR="002B6619" w:rsidRDefault="002B661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928"/>
    <w:multiLevelType w:val="hybridMultilevel"/>
    <w:tmpl w:val="4C02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F537A"/>
    <w:multiLevelType w:val="hybridMultilevel"/>
    <w:tmpl w:val="8850F896"/>
    <w:lvl w:ilvl="0" w:tplc="33BC287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043B"/>
    <w:multiLevelType w:val="hybridMultilevel"/>
    <w:tmpl w:val="13448D18"/>
    <w:lvl w:ilvl="0" w:tplc="0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3826FB"/>
    <w:multiLevelType w:val="hybridMultilevel"/>
    <w:tmpl w:val="F13076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FE3C32"/>
    <w:multiLevelType w:val="hybridMultilevel"/>
    <w:tmpl w:val="3428301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037AA6"/>
    <w:multiLevelType w:val="hybridMultilevel"/>
    <w:tmpl w:val="366E6610"/>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10178FC"/>
    <w:multiLevelType w:val="hybridMultilevel"/>
    <w:tmpl w:val="3970E8CC"/>
    <w:lvl w:ilvl="0" w:tplc="08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10528F5"/>
    <w:multiLevelType w:val="hybridMultilevel"/>
    <w:tmpl w:val="47B2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1D2000"/>
    <w:multiLevelType w:val="hybridMultilevel"/>
    <w:tmpl w:val="D012C126"/>
    <w:lvl w:ilvl="0" w:tplc="0C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3037C27"/>
    <w:multiLevelType w:val="hybridMultilevel"/>
    <w:tmpl w:val="221842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9C01F62"/>
    <w:multiLevelType w:val="hybridMultilevel"/>
    <w:tmpl w:val="783AB070"/>
    <w:lvl w:ilvl="0" w:tplc="08090001">
      <w:start w:val="1"/>
      <w:numFmt w:val="bullet"/>
      <w:lvlText w:val=""/>
      <w:lvlJc w:val="left"/>
      <w:pPr>
        <w:ind w:left="1126" w:hanging="360"/>
      </w:pPr>
      <w:rPr>
        <w:rFonts w:ascii="Symbol" w:hAnsi="Symbol" w:hint="default"/>
      </w:rPr>
    </w:lvl>
    <w:lvl w:ilvl="1" w:tplc="08090003" w:tentative="1">
      <w:start w:val="1"/>
      <w:numFmt w:val="bullet"/>
      <w:lvlText w:val="o"/>
      <w:lvlJc w:val="left"/>
      <w:pPr>
        <w:ind w:left="1846" w:hanging="360"/>
      </w:pPr>
      <w:rPr>
        <w:rFonts w:ascii="Courier New" w:hAnsi="Courier New" w:cs="Courier New" w:hint="default"/>
      </w:rPr>
    </w:lvl>
    <w:lvl w:ilvl="2" w:tplc="08090005" w:tentative="1">
      <w:start w:val="1"/>
      <w:numFmt w:val="bullet"/>
      <w:lvlText w:val=""/>
      <w:lvlJc w:val="left"/>
      <w:pPr>
        <w:ind w:left="2566" w:hanging="360"/>
      </w:pPr>
      <w:rPr>
        <w:rFonts w:ascii="Wingdings" w:hAnsi="Wingdings" w:hint="default"/>
      </w:rPr>
    </w:lvl>
    <w:lvl w:ilvl="3" w:tplc="08090001" w:tentative="1">
      <w:start w:val="1"/>
      <w:numFmt w:val="bullet"/>
      <w:lvlText w:val=""/>
      <w:lvlJc w:val="left"/>
      <w:pPr>
        <w:ind w:left="3286" w:hanging="360"/>
      </w:pPr>
      <w:rPr>
        <w:rFonts w:ascii="Symbol" w:hAnsi="Symbol" w:hint="default"/>
      </w:rPr>
    </w:lvl>
    <w:lvl w:ilvl="4" w:tplc="08090003" w:tentative="1">
      <w:start w:val="1"/>
      <w:numFmt w:val="bullet"/>
      <w:lvlText w:val="o"/>
      <w:lvlJc w:val="left"/>
      <w:pPr>
        <w:ind w:left="4006" w:hanging="360"/>
      </w:pPr>
      <w:rPr>
        <w:rFonts w:ascii="Courier New" w:hAnsi="Courier New" w:cs="Courier New" w:hint="default"/>
      </w:rPr>
    </w:lvl>
    <w:lvl w:ilvl="5" w:tplc="08090005" w:tentative="1">
      <w:start w:val="1"/>
      <w:numFmt w:val="bullet"/>
      <w:lvlText w:val=""/>
      <w:lvlJc w:val="left"/>
      <w:pPr>
        <w:ind w:left="4726" w:hanging="360"/>
      </w:pPr>
      <w:rPr>
        <w:rFonts w:ascii="Wingdings" w:hAnsi="Wingdings" w:hint="default"/>
      </w:rPr>
    </w:lvl>
    <w:lvl w:ilvl="6" w:tplc="08090001" w:tentative="1">
      <w:start w:val="1"/>
      <w:numFmt w:val="bullet"/>
      <w:lvlText w:val=""/>
      <w:lvlJc w:val="left"/>
      <w:pPr>
        <w:ind w:left="5446" w:hanging="360"/>
      </w:pPr>
      <w:rPr>
        <w:rFonts w:ascii="Symbol" w:hAnsi="Symbol" w:hint="default"/>
      </w:rPr>
    </w:lvl>
    <w:lvl w:ilvl="7" w:tplc="08090003" w:tentative="1">
      <w:start w:val="1"/>
      <w:numFmt w:val="bullet"/>
      <w:lvlText w:val="o"/>
      <w:lvlJc w:val="left"/>
      <w:pPr>
        <w:ind w:left="6166" w:hanging="360"/>
      </w:pPr>
      <w:rPr>
        <w:rFonts w:ascii="Courier New" w:hAnsi="Courier New" w:cs="Courier New" w:hint="default"/>
      </w:rPr>
    </w:lvl>
    <w:lvl w:ilvl="8" w:tplc="08090005" w:tentative="1">
      <w:start w:val="1"/>
      <w:numFmt w:val="bullet"/>
      <w:lvlText w:val=""/>
      <w:lvlJc w:val="left"/>
      <w:pPr>
        <w:ind w:left="6886" w:hanging="360"/>
      </w:pPr>
      <w:rPr>
        <w:rFonts w:ascii="Wingdings" w:hAnsi="Wingdings" w:hint="default"/>
      </w:rPr>
    </w:lvl>
  </w:abstractNum>
  <w:abstractNum w:abstractNumId="11" w15:restartNumberingAfterBreak="0">
    <w:nsid w:val="1AD0620E"/>
    <w:multiLevelType w:val="hybridMultilevel"/>
    <w:tmpl w:val="FA703CFA"/>
    <w:lvl w:ilvl="0" w:tplc="FFFFFFFF">
      <w:start w:val="2018"/>
      <w:numFmt w:val="decimal"/>
      <w:lvlText w:val="%1"/>
      <w:lvlJc w:val="left"/>
      <w:pPr>
        <w:ind w:left="840" w:hanging="48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AE592F"/>
    <w:multiLevelType w:val="hybridMultilevel"/>
    <w:tmpl w:val="6848F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C772A"/>
    <w:multiLevelType w:val="hybridMultilevel"/>
    <w:tmpl w:val="54221196"/>
    <w:lvl w:ilvl="0" w:tplc="33BC2876">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602848"/>
    <w:multiLevelType w:val="hybridMultilevel"/>
    <w:tmpl w:val="FE4A0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D97CE1"/>
    <w:multiLevelType w:val="hybridMultilevel"/>
    <w:tmpl w:val="3DF0736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9155136"/>
    <w:multiLevelType w:val="hybridMultilevel"/>
    <w:tmpl w:val="CAC0AC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46A09C3"/>
    <w:multiLevelType w:val="hybridMultilevel"/>
    <w:tmpl w:val="4CBE967E"/>
    <w:lvl w:ilvl="0" w:tplc="33BC2876">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50740"/>
    <w:multiLevelType w:val="hybridMultilevel"/>
    <w:tmpl w:val="816EF8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DD0D65"/>
    <w:multiLevelType w:val="hybridMultilevel"/>
    <w:tmpl w:val="275C6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26324D"/>
    <w:multiLevelType w:val="hybridMultilevel"/>
    <w:tmpl w:val="0DF4B4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7972B0"/>
    <w:multiLevelType w:val="hybridMultilevel"/>
    <w:tmpl w:val="37284556"/>
    <w:lvl w:ilvl="0" w:tplc="08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3880995"/>
    <w:multiLevelType w:val="hybridMultilevel"/>
    <w:tmpl w:val="949E1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7749B9"/>
    <w:multiLevelType w:val="hybridMultilevel"/>
    <w:tmpl w:val="EEDADA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237536"/>
    <w:multiLevelType w:val="hybridMultilevel"/>
    <w:tmpl w:val="EE7837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A820D6"/>
    <w:multiLevelType w:val="hybridMultilevel"/>
    <w:tmpl w:val="DD58F9F8"/>
    <w:lvl w:ilvl="0" w:tplc="33BC2876">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602ED2"/>
    <w:multiLevelType w:val="hybridMultilevel"/>
    <w:tmpl w:val="F468E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4533C9"/>
    <w:multiLevelType w:val="hybridMultilevel"/>
    <w:tmpl w:val="DD0A7E46"/>
    <w:lvl w:ilvl="0" w:tplc="33BC2876">
      <w:start w:val="1"/>
      <w:numFmt w:val="bullet"/>
      <w:lvlText w:val="-"/>
      <w:lvlJc w:val="left"/>
      <w:pPr>
        <w:ind w:left="72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0DF39C6"/>
    <w:multiLevelType w:val="hybridMultilevel"/>
    <w:tmpl w:val="AAC49E7E"/>
    <w:lvl w:ilvl="0" w:tplc="93F4A692">
      <w:start w:val="24"/>
      <w:numFmt w:val="bullet"/>
      <w:lvlText w:val="-"/>
      <w:lvlJc w:val="left"/>
      <w:pPr>
        <w:ind w:left="720" w:hanging="360"/>
      </w:pPr>
      <w:rPr>
        <w:rFonts w:ascii="Calibri" w:eastAsia="Calibri"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1B977FB"/>
    <w:multiLevelType w:val="hybridMultilevel"/>
    <w:tmpl w:val="4FDE4A9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9E32751"/>
    <w:multiLevelType w:val="hybridMultilevel"/>
    <w:tmpl w:val="F496C0E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2E7247"/>
    <w:multiLevelType w:val="hybridMultilevel"/>
    <w:tmpl w:val="9E049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A371E7"/>
    <w:multiLevelType w:val="hybridMultilevel"/>
    <w:tmpl w:val="1082AC1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B92486"/>
    <w:multiLevelType w:val="hybridMultilevel"/>
    <w:tmpl w:val="F20096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E85456E"/>
    <w:multiLevelType w:val="hybridMultilevel"/>
    <w:tmpl w:val="ABBC00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C519B4"/>
    <w:multiLevelType w:val="hybridMultilevel"/>
    <w:tmpl w:val="95322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E3241D"/>
    <w:multiLevelType w:val="hybridMultilevel"/>
    <w:tmpl w:val="25268482"/>
    <w:lvl w:ilvl="0" w:tplc="08090001">
      <w:start w:val="1"/>
      <w:numFmt w:val="bullet"/>
      <w:lvlText w:val=""/>
      <w:lvlJc w:val="left"/>
      <w:pPr>
        <w:ind w:left="720" w:hanging="360"/>
      </w:pPr>
      <w:rPr>
        <w:rFonts w:ascii="Symbol" w:hAnsi="Symbol" w:hint="default"/>
      </w:rPr>
    </w:lvl>
    <w:lvl w:ilvl="1" w:tplc="33BC2876">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847CFD"/>
    <w:multiLevelType w:val="hybridMultilevel"/>
    <w:tmpl w:val="70921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A919E6"/>
    <w:multiLevelType w:val="hybridMultilevel"/>
    <w:tmpl w:val="5F3CF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10"/>
  </w:num>
  <w:num w:numId="4">
    <w:abstractNumId w:val="38"/>
  </w:num>
  <w:num w:numId="5">
    <w:abstractNumId w:val="12"/>
  </w:num>
  <w:num w:numId="6">
    <w:abstractNumId w:val="11"/>
  </w:num>
  <w:num w:numId="7">
    <w:abstractNumId w:val="35"/>
  </w:num>
  <w:num w:numId="8">
    <w:abstractNumId w:val="6"/>
  </w:num>
  <w:num w:numId="9">
    <w:abstractNumId w:val="34"/>
  </w:num>
  <w:num w:numId="10">
    <w:abstractNumId w:val="1"/>
  </w:num>
  <w:num w:numId="11">
    <w:abstractNumId w:val="7"/>
  </w:num>
  <w:num w:numId="12">
    <w:abstractNumId w:val="0"/>
  </w:num>
  <w:num w:numId="13">
    <w:abstractNumId w:val="29"/>
  </w:num>
  <w:num w:numId="14">
    <w:abstractNumId w:val="31"/>
  </w:num>
  <w:num w:numId="15">
    <w:abstractNumId w:val="26"/>
  </w:num>
  <w:num w:numId="16">
    <w:abstractNumId w:val="13"/>
  </w:num>
  <w:num w:numId="17">
    <w:abstractNumId w:val="27"/>
  </w:num>
  <w:num w:numId="18">
    <w:abstractNumId w:val="36"/>
  </w:num>
  <w:num w:numId="19">
    <w:abstractNumId w:val="25"/>
  </w:num>
  <w:num w:numId="20">
    <w:abstractNumId w:val="17"/>
  </w:num>
  <w:num w:numId="21">
    <w:abstractNumId w:val="33"/>
  </w:num>
  <w:num w:numId="22">
    <w:abstractNumId w:val="2"/>
  </w:num>
  <w:num w:numId="23">
    <w:abstractNumId w:val="8"/>
  </w:num>
  <w:num w:numId="24">
    <w:abstractNumId w:val="21"/>
  </w:num>
  <w:num w:numId="25">
    <w:abstractNumId w:val="16"/>
  </w:num>
  <w:num w:numId="26">
    <w:abstractNumId w:val="23"/>
  </w:num>
  <w:num w:numId="27">
    <w:abstractNumId w:val="4"/>
  </w:num>
  <w:num w:numId="28">
    <w:abstractNumId w:val="24"/>
  </w:num>
  <w:num w:numId="29">
    <w:abstractNumId w:val="32"/>
  </w:num>
  <w:num w:numId="30">
    <w:abstractNumId w:val="15"/>
  </w:num>
  <w:num w:numId="31">
    <w:abstractNumId w:val="18"/>
  </w:num>
  <w:num w:numId="32">
    <w:abstractNumId w:val="19"/>
  </w:num>
  <w:num w:numId="33">
    <w:abstractNumId w:val="9"/>
  </w:num>
  <w:num w:numId="34">
    <w:abstractNumId w:val="30"/>
  </w:num>
  <w:num w:numId="35">
    <w:abstractNumId w:val="5"/>
  </w:num>
  <w:num w:numId="36">
    <w:abstractNumId w:val="20"/>
  </w:num>
  <w:num w:numId="37">
    <w:abstractNumId w:val="22"/>
  </w:num>
  <w:num w:numId="38">
    <w:abstractNumId w:val="14"/>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hdrShapeDefaults>
    <o:shapedefaults v:ext="edit" spidmax="6145">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867"/>
    <w:rsid w:val="00002FF6"/>
    <w:rsid w:val="0001244B"/>
    <w:rsid w:val="00012B85"/>
    <w:rsid w:val="00013FFE"/>
    <w:rsid w:val="0001568C"/>
    <w:rsid w:val="00026F16"/>
    <w:rsid w:val="0004370E"/>
    <w:rsid w:val="00044DD4"/>
    <w:rsid w:val="00045052"/>
    <w:rsid w:val="00046A02"/>
    <w:rsid w:val="00050020"/>
    <w:rsid w:val="00050409"/>
    <w:rsid w:val="00050CB6"/>
    <w:rsid w:val="00050D37"/>
    <w:rsid w:val="0006060D"/>
    <w:rsid w:val="00075B80"/>
    <w:rsid w:val="00076AFB"/>
    <w:rsid w:val="000825DC"/>
    <w:rsid w:val="00085E0E"/>
    <w:rsid w:val="00096BB6"/>
    <w:rsid w:val="00097C86"/>
    <w:rsid w:val="000B3B88"/>
    <w:rsid w:val="000B47A3"/>
    <w:rsid w:val="000B5927"/>
    <w:rsid w:val="000C3CCC"/>
    <w:rsid w:val="000E3943"/>
    <w:rsid w:val="000E4C52"/>
    <w:rsid w:val="000F3408"/>
    <w:rsid w:val="001013A3"/>
    <w:rsid w:val="001059D1"/>
    <w:rsid w:val="0011283A"/>
    <w:rsid w:val="00112AE5"/>
    <w:rsid w:val="00113175"/>
    <w:rsid w:val="00113A03"/>
    <w:rsid w:val="0011481E"/>
    <w:rsid w:val="0011681D"/>
    <w:rsid w:val="00121882"/>
    <w:rsid w:val="00123FFA"/>
    <w:rsid w:val="00141F09"/>
    <w:rsid w:val="00145726"/>
    <w:rsid w:val="00147C6C"/>
    <w:rsid w:val="00150E1C"/>
    <w:rsid w:val="001523A2"/>
    <w:rsid w:val="00156590"/>
    <w:rsid w:val="001566D6"/>
    <w:rsid w:val="00160E8C"/>
    <w:rsid w:val="00161979"/>
    <w:rsid w:val="00163EC2"/>
    <w:rsid w:val="00171BE5"/>
    <w:rsid w:val="00175D01"/>
    <w:rsid w:val="001812F1"/>
    <w:rsid w:val="001818D3"/>
    <w:rsid w:val="00182CC2"/>
    <w:rsid w:val="00187183"/>
    <w:rsid w:val="001967D6"/>
    <w:rsid w:val="001A35A9"/>
    <w:rsid w:val="001A363B"/>
    <w:rsid w:val="001A524E"/>
    <w:rsid w:val="001A5A55"/>
    <w:rsid w:val="001B30BC"/>
    <w:rsid w:val="001B4982"/>
    <w:rsid w:val="001B504A"/>
    <w:rsid w:val="001B5132"/>
    <w:rsid w:val="001B6FDC"/>
    <w:rsid w:val="001C3649"/>
    <w:rsid w:val="001D0DD5"/>
    <w:rsid w:val="001D2422"/>
    <w:rsid w:val="001D24A0"/>
    <w:rsid w:val="001D2AFF"/>
    <w:rsid w:val="001D4FB1"/>
    <w:rsid w:val="001D6A30"/>
    <w:rsid w:val="001D72D0"/>
    <w:rsid w:val="001E064D"/>
    <w:rsid w:val="001E1047"/>
    <w:rsid w:val="001E169B"/>
    <w:rsid w:val="001E67C4"/>
    <w:rsid w:val="00201C50"/>
    <w:rsid w:val="00206C06"/>
    <w:rsid w:val="00212B6D"/>
    <w:rsid w:val="0021658B"/>
    <w:rsid w:val="002171A5"/>
    <w:rsid w:val="00221B4C"/>
    <w:rsid w:val="002254EF"/>
    <w:rsid w:val="00227764"/>
    <w:rsid w:val="002402A1"/>
    <w:rsid w:val="00246915"/>
    <w:rsid w:val="00247587"/>
    <w:rsid w:val="00250AD7"/>
    <w:rsid w:val="00252CDE"/>
    <w:rsid w:val="00267D1F"/>
    <w:rsid w:val="00271B5F"/>
    <w:rsid w:val="002755D0"/>
    <w:rsid w:val="002922F3"/>
    <w:rsid w:val="00296DF6"/>
    <w:rsid w:val="002B5E9D"/>
    <w:rsid w:val="002B6619"/>
    <w:rsid w:val="002B7CBC"/>
    <w:rsid w:val="002D01C2"/>
    <w:rsid w:val="002D69FD"/>
    <w:rsid w:val="002E5AED"/>
    <w:rsid w:val="002F3BE9"/>
    <w:rsid w:val="00313CB8"/>
    <w:rsid w:val="003253CC"/>
    <w:rsid w:val="00336D5B"/>
    <w:rsid w:val="00345D65"/>
    <w:rsid w:val="00347DBE"/>
    <w:rsid w:val="00361962"/>
    <w:rsid w:val="00367CBE"/>
    <w:rsid w:val="00382709"/>
    <w:rsid w:val="00385EE8"/>
    <w:rsid w:val="00395EFD"/>
    <w:rsid w:val="00397F80"/>
    <w:rsid w:val="003C1BF4"/>
    <w:rsid w:val="003D081D"/>
    <w:rsid w:val="003D68DF"/>
    <w:rsid w:val="003D76EC"/>
    <w:rsid w:val="003E2AE8"/>
    <w:rsid w:val="003E3E4A"/>
    <w:rsid w:val="003E6445"/>
    <w:rsid w:val="003F0261"/>
    <w:rsid w:val="003F3254"/>
    <w:rsid w:val="00402EAC"/>
    <w:rsid w:val="004036C1"/>
    <w:rsid w:val="00405B72"/>
    <w:rsid w:val="00405F5D"/>
    <w:rsid w:val="0040712B"/>
    <w:rsid w:val="00411F4F"/>
    <w:rsid w:val="0042448F"/>
    <w:rsid w:val="004342B2"/>
    <w:rsid w:val="00437411"/>
    <w:rsid w:val="00437E68"/>
    <w:rsid w:val="004479C5"/>
    <w:rsid w:val="00447CDA"/>
    <w:rsid w:val="00457484"/>
    <w:rsid w:val="00461432"/>
    <w:rsid w:val="004616EE"/>
    <w:rsid w:val="00473578"/>
    <w:rsid w:val="004750D1"/>
    <w:rsid w:val="00476EAF"/>
    <w:rsid w:val="00490898"/>
    <w:rsid w:val="004929DE"/>
    <w:rsid w:val="004B5B50"/>
    <w:rsid w:val="004B77AE"/>
    <w:rsid w:val="004C07ED"/>
    <w:rsid w:val="004C33CA"/>
    <w:rsid w:val="004C3B4E"/>
    <w:rsid w:val="004D1B45"/>
    <w:rsid w:val="004D1B4D"/>
    <w:rsid w:val="004D1FC6"/>
    <w:rsid w:val="004D3ADA"/>
    <w:rsid w:val="004E27A2"/>
    <w:rsid w:val="004F5CCE"/>
    <w:rsid w:val="004F6127"/>
    <w:rsid w:val="00502D91"/>
    <w:rsid w:val="00504306"/>
    <w:rsid w:val="0050515C"/>
    <w:rsid w:val="00520B5E"/>
    <w:rsid w:val="00520D7F"/>
    <w:rsid w:val="00521091"/>
    <w:rsid w:val="005246AF"/>
    <w:rsid w:val="005348F6"/>
    <w:rsid w:val="00540C2C"/>
    <w:rsid w:val="00540C5A"/>
    <w:rsid w:val="00555E07"/>
    <w:rsid w:val="00557BD3"/>
    <w:rsid w:val="00582FBD"/>
    <w:rsid w:val="0058308E"/>
    <w:rsid w:val="00584732"/>
    <w:rsid w:val="00593AED"/>
    <w:rsid w:val="00594D58"/>
    <w:rsid w:val="00597837"/>
    <w:rsid w:val="005A1306"/>
    <w:rsid w:val="005A4C9B"/>
    <w:rsid w:val="005A6212"/>
    <w:rsid w:val="005B227C"/>
    <w:rsid w:val="005B35C4"/>
    <w:rsid w:val="005B37DF"/>
    <w:rsid w:val="005B3F88"/>
    <w:rsid w:val="005B4C7E"/>
    <w:rsid w:val="005C1DC9"/>
    <w:rsid w:val="005C27EA"/>
    <w:rsid w:val="005D1453"/>
    <w:rsid w:val="005D2C02"/>
    <w:rsid w:val="005E3224"/>
    <w:rsid w:val="005E5B8F"/>
    <w:rsid w:val="005E5B94"/>
    <w:rsid w:val="005E6AD5"/>
    <w:rsid w:val="005E7B19"/>
    <w:rsid w:val="005E7DA7"/>
    <w:rsid w:val="005F6CB1"/>
    <w:rsid w:val="0061077F"/>
    <w:rsid w:val="00610D57"/>
    <w:rsid w:val="00611F0C"/>
    <w:rsid w:val="00616AE7"/>
    <w:rsid w:val="00617F8D"/>
    <w:rsid w:val="00626D31"/>
    <w:rsid w:val="00637232"/>
    <w:rsid w:val="00646540"/>
    <w:rsid w:val="006467EF"/>
    <w:rsid w:val="00653687"/>
    <w:rsid w:val="006614D0"/>
    <w:rsid w:val="00662F2E"/>
    <w:rsid w:val="00667401"/>
    <w:rsid w:val="00667B18"/>
    <w:rsid w:val="00677EFC"/>
    <w:rsid w:val="00680B45"/>
    <w:rsid w:val="00680E46"/>
    <w:rsid w:val="00685602"/>
    <w:rsid w:val="006858D0"/>
    <w:rsid w:val="006A6BDC"/>
    <w:rsid w:val="006B58A4"/>
    <w:rsid w:val="006B7F18"/>
    <w:rsid w:val="006C21FB"/>
    <w:rsid w:val="006D2E5E"/>
    <w:rsid w:val="006D3296"/>
    <w:rsid w:val="006D78F0"/>
    <w:rsid w:val="006F07B8"/>
    <w:rsid w:val="00700CB6"/>
    <w:rsid w:val="007013AC"/>
    <w:rsid w:val="0071097A"/>
    <w:rsid w:val="007157F1"/>
    <w:rsid w:val="00715B94"/>
    <w:rsid w:val="00720EBA"/>
    <w:rsid w:val="00725D3F"/>
    <w:rsid w:val="007268EB"/>
    <w:rsid w:val="00737329"/>
    <w:rsid w:val="00740B84"/>
    <w:rsid w:val="00743951"/>
    <w:rsid w:val="00743969"/>
    <w:rsid w:val="007573A5"/>
    <w:rsid w:val="00764D29"/>
    <w:rsid w:val="00765C43"/>
    <w:rsid w:val="00766BC0"/>
    <w:rsid w:val="00766FD7"/>
    <w:rsid w:val="00781F65"/>
    <w:rsid w:val="00782777"/>
    <w:rsid w:val="00783D10"/>
    <w:rsid w:val="007848A7"/>
    <w:rsid w:val="0078535A"/>
    <w:rsid w:val="00786E9A"/>
    <w:rsid w:val="0079133B"/>
    <w:rsid w:val="00792522"/>
    <w:rsid w:val="0079272F"/>
    <w:rsid w:val="007932A8"/>
    <w:rsid w:val="007954C0"/>
    <w:rsid w:val="007A0D1A"/>
    <w:rsid w:val="007A60A0"/>
    <w:rsid w:val="007A687E"/>
    <w:rsid w:val="007B03B6"/>
    <w:rsid w:val="007B0D20"/>
    <w:rsid w:val="007B2074"/>
    <w:rsid w:val="007B3BA3"/>
    <w:rsid w:val="007D02DD"/>
    <w:rsid w:val="007D0A49"/>
    <w:rsid w:val="007D299A"/>
    <w:rsid w:val="007D40CC"/>
    <w:rsid w:val="007E71B6"/>
    <w:rsid w:val="007F3A73"/>
    <w:rsid w:val="0081433C"/>
    <w:rsid w:val="00816621"/>
    <w:rsid w:val="008215FB"/>
    <w:rsid w:val="008245F7"/>
    <w:rsid w:val="00827883"/>
    <w:rsid w:val="00834622"/>
    <w:rsid w:val="00835DA2"/>
    <w:rsid w:val="00836986"/>
    <w:rsid w:val="0084042F"/>
    <w:rsid w:val="008435F5"/>
    <w:rsid w:val="008548F0"/>
    <w:rsid w:val="00873437"/>
    <w:rsid w:val="00874B93"/>
    <w:rsid w:val="00875BFD"/>
    <w:rsid w:val="008830F0"/>
    <w:rsid w:val="008833BD"/>
    <w:rsid w:val="008916F0"/>
    <w:rsid w:val="00893719"/>
    <w:rsid w:val="008A5628"/>
    <w:rsid w:val="008A6FA0"/>
    <w:rsid w:val="008A7116"/>
    <w:rsid w:val="008B2B1F"/>
    <w:rsid w:val="008B74C2"/>
    <w:rsid w:val="008D04CA"/>
    <w:rsid w:val="008D06F1"/>
    <w:rsid w:val="008D1571"/>
    <w:rsid w:val="008E1E3A"/>
    <w:rsid w:val="008E3C29"/>
    <w:rsid w:val="008E61A4"/>
    <w:rsid w:val="008F705F"/>
    <w:rsid w:val="009008EE"/>
    <w:rsid w:val="00922D62"/>
    <w:rsid w:val="00934BAC"/>
    <w:rsid w:val="00934FA2"/>
    <w:rsid w:val="00937CF1"/>
    <w:rsid w:val="009461A0"/>
    <w:rsid w:val="009502B2"/>
    <w:rsid w:val="0095428B"/>
    <w:rsid w:val="009548F4"/>
    <w:rsid w:val="00961D78"/>
    <w:rsid w:val="00966A3C"/>
    <w:rsid w:val="0096776A"/>
    <w:rsid w:val="00971C02"/>
    <w:rsid w:val="009773DB"/>
    <w:rsid w:val="00981D1B"/>
    <w:rsid w:val="00992795"/>
    <w:rsid w:val="00996F2C"/>
    <w:rsid w:val="009A0A87"/>
    <w:rsid w:val="009A55B6"/>
    <w:rsid w:val="009A6F32"/>
    <w:rsid w:val="009B2354"/>
    <w:rsid w:val="009B3E35"/>
    <w:rsid w:val="009B6C81"/>
    <w:rsid w:val="009B75C1"/>
    <w:rsid w:val="009C2345"/>
    <w:rsid w:val="009C3282"/>
    <w:rsid w:val="009D0ABD"/>
    <w:rsid w:val="009D1EEF"/>
    <w:rsid w:val="009D62FE"/>
    <w:rsid w:val="009E4C64"/>
    <w:rsid w:val="009F7BFB"/>
    <w:rsid w:val="00A05F59"/>
    <w:rsid w:val="00A21122"/>
    <w:rsid w:val="00A21776"/>
    <w:rsid w:val="00A254C5"/>
    <w:rsid w:val="00A33930"/>
    <w:rsid w:val="00A35319"/>
    <w:rsid w:val="00A35452"/>
    <w:rsid w:val="00A406D0"/>
    <w:rsid w:val="00A4269F"/>
    <w:rsid w:val="00A45C91"/>
    <w:rsid w:val="00A5122F"/>
    <w:rsid w:val="00A535CD"/>
    <w:rsid w:val="00A54935"/>
    <w:rsid w:val="00A6095C"/>
    <w:rsid w:val="00A660EA"/>
    <w:rsid w:val="00A7539C"/>
    <w:rsid w:val="00A8255F"/>
    <w:rsid w:val="00AA3A55"/>
    <w:rsid w:val="00AA401B"/>
    <w:rsid w:val="00AB6253"/>
    <w:rsid w:val="00AB7964"/>
    <w:rsid w:val="00AC2CD0"/>
    <w:rsid w:val="00AC7823"/>
    <w:rsid w:val="00AD106B"/>
    <w:rsid w:val="00AD3616"/>
    <w:rsid w:val="00AD58E7"/>
    <w:rsid w:val="00AE133E"/>
    <w:rsid w:val="00AE6B28"/>
    <w:rsid w:val="00AF5E03"/>
    <w:rsid w:val="00B02601"/>
    <w:rsid w:val="00B10B4D"/>
    <w:rsid w:val="00B24A71"/>
    <w:rsid w:val="00B251DE"/>
    <w:rsid w:val="00B25D40"/>
    <w:rsid w:val="00B30197"/>
    <w:rsid w:val="00B3160D"/>
    <w:rsid w:val="00B32C04"/>
    <w:rsid w:val="00B34740"/>
    <w:rsid w:val="00B34A90"/>
    <w:rsid w:val="00B504A0"/>
    <w:rsid w:val="00B51FE6"/>
    <w:rsid w:val="00B551A1"/>
    <w:rsid w:val="00B56346"/>
    <w:rsid w:val="00B65CBC"/>
    <w:rsid w:val="00B7742A"/>
    <w:rsid w:val="00B80582"/>
    <w:rsid w:val="00B810C3"/>
    <w:rsid w:val="00B86807"/>
    <w:rsid w:val="00B9243C"/>
    <w:rsid w:val="00BA456B"/>
    <w:rsid w:val="00BB1198"/>
    <w:rsid w:val="00BC12CB"/>
    <w:rsid w:val="00BD10D0"/>
    <w:rsid w:val="00BD1435"/>
    <w:rsid w:val="00BD2B99"/>
    <w:rsid w:val="00BE0F13"/>
    <w:rsid w:val="00BE4CB6"/>
    <w:rsid w:val="00BE5405"/>
    <w:rsid w:val="00BE5DA5"/>
    <w:rsid w:val="00BF40FF"/>
    <w:rsid w:val="00C032F2"/>
    <w:rsid w:val="00C11647"/>
    <w:rsid w:val="00C22EA2"/>
    <w:rsid w:val="00C25222"/>
    <w:rsid w:val="00C34DD0"/>
    <w:rsid w:val="00C42147"/>
    <w:rsid w:val="00C46181"/>
    <w:rsid w:val="00C5068D"/>
    <w:rsid w:val="00C53480"/>
    <w:rsid w:val="00C57946"/>
    <w:rsid w:val="00C772D9"/>
    <w:rsid w:val="00C82924"/>
    <w:rsid w:val="00C85241"/>
    <w:rsid w:val="00C9352D"/>
    <w:rsid w:val="00C93AEB"/>
    <w:rsid w:val="00C94904"/>
    <w:rsid w:val="00C9704E"/>
    <w:rsid w:val="00CA3C90"/>
    <w:rsid w:val="00CB0155"/>
    <w:rsid w:val="00CB07E6"/>
    <w:rsid w:val="00CB1DEE"/>
    <w:rsid w:val="00CB38B8"/>
    <w:rsid w:val="00CD11CD"/>
    <w:rsid w:val="00CD4D2B"/>
    <w:rsid w:val="00CE481B"/>
    <w:rsid w:val="00CF0270"/>
    <w:rsid w:val="00D13FD3"/>
    <w:rsid w:val="00D166FF"/>
    <w:rsid w:val="00D169BD"/>
    <w:rsid w:val="00D21BA7"/>
    <w:rsid w:val="00D24488"/>
    <w:rsid w:val="00D35059"/>
    <w:rsid w:val="00D412C3"/>
    <w:rsid w:val="00D41867"/>
    <w:rsid w:val="00D41CFD"/>
    <w:rsid w:val="00D513A9"/>
    <w:rsid w:val="00D60A6D"/>
    <w:rsid w:val="00D63348"/>
    <w:rsid w:val="00D74C63"/>
    <w:rsid w:val="00D90599"/>
    <w:rsid w:val="00D93BA2"/>
    <w:rsid w:val="00D95D82"/>
    <w:rsid w:val="00DA0AC3"/>
    <w:rsid w:val="00DA332D"/>
    <w:rsid w:val="00DB2DCD"/>
    <w:rsid w:val="00DC43E5"/>
    <w:rsid w:val="00DC6593"/>
    <w:rsid w:val="00DD2E54"/>
    <w:rsid w:val="00DD3421"/>
    <w:rsid w:val="00DF3B52"/>
    <w:rsid w:val="00E01BFA"/>
    <w:rsid w:val="00E06F65"/>
    <w:rsid w:val="00E136C2"/>
    <w:rsid w:val="00E206DE"/>
    <w:rsid w:val="00E23CB5"/>
    <w:rsid w:val="00E24567"/>
    <w:rsid w:val="00E3613F"/>
    <w:rsid w:val="00E414C1"/>
    <w:rsid w:val="00E455C1"/>
    <w:rsid w:val="00E4731B"/>
    <w:rsid w:val="00E4738C"/>
    <w:rsid w:val="00E50D4A"/>
    <w:rsid w:val="00E5619B"/>
    <w:rsid w:val="00E566AE"/>
    <w:rsid w:val="00E64665"/>
    <w:rsid w:val="00E64820"/>
    <w:rsid w:val="00E71AE8"/>
    <w:rsid w:val="00E7529F"/>
    <w:rsid w:val="00E81BF6"/>
    <w:rsid w:val="00E81F9F"/>
    <w:rsid w:val="00E85CF1"/>
    <w:rsid w:val="00E924C1"/>
    <w:rsid w:val="00E93C84"/>
    <w:rsid w:val="00E96522"/>
    <w:rsid w:val="00E97D56"/>
    <w:rsid w:val="00E97F61"/>
    <w:rsid w:val="00EB7D88"/>
    <w:rsid w:val="00EC37F0"/>
    <w:rsid w:val="00ED08AD"/>
    <w:rsid w:val="00ED1C67"/>
    <w:rsid w:val="00ED2B7D"/>
    <w:rsid w:val="00EF1A4F"/>
    <w:rsid w:val="00EF6917"/>
    <w:rsid w:val="00EF6E8E"/>
    <w:rsid w:val="00F07F45"/>
    <w:rsid w:val="00F10D41"/>
    <w:rsid w:val="00F12A26"/>
    <w:rsid w:val="00F2367A"/>
    <w:rsid w:val="00F2715D"/>
    <w:rsid w:val="00F36FB4"/>
    <w:rsid w:val="00F4115A"/>
    <w:rsid w:val="00F50E76"/>
    <w:rsid w:val="00F51126"/>
    <w:rsid w:val="00F532DB"/>
    <w:rsid w:val="00F550FB"/>
    <w:rsid w:val="00F60926"/>
    <w:rsid w:val="00F6111F"/>
    <w:rsid w:val="00F70425"/>
    <w:rsid w:val="00F728D9"/>
    <w:rsid w:val="00F74ACE"/>
    <w:rsid w:val="00F75879"/>
    <w:rsid w:val="00F84B54"/>
    <w:rsid w:val="00F87628"/>
    <w:rsid w:val="00F9547E"/>
    <w:rsid w:val="00FA0C43"/>
    <w:rsid w:val="00FA7903"/>
    <w:rsid w:val="00FA7960"/>
    <w:rsid w:val="00FA79A0"/>
    <w:rsid w:val="00FB5B3F"/>
    <w:rsid w:val="00FC15D3"/>
    <w:rsid w:val="00FC4D8C"/>
    <w:rsid w:val="00FD2703"/>
    <w:rsid w:val="00FE11C3"/>
    <w:rsid w:val="00FE64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F07E6D8"/>
  <w15:docId w15:val="{892665A8-85BA-4D32-96F5-CEFFE6CA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Arial"/>
        <w:lang w:val="en-AU"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00" w:line="276" w:lineRule="auto"/>
    </w:pPr>
    <w:rPr>
      <w:sz w:val="22"/>
      <w:szCs w:val="22"/>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41867"/>
    <w:rPr>
      <w:sz w:val="22"/>
      <w:szCs w:val="22"/>
      <w:lang w:val="en-GB" w:eastAsia="en-US"/>
    </w:rPr>
  </w:style>
  <w:style w:type="character" w:styleId="Hyperlink">
    <w:name w:val="Hyperlink"/>
    <w:uiPriority w:val="99"/>
    <w:unhideWhenUsed/>
    <w:rsid w:val="00123FFA"/>
    <w:rPr>
      <w:color w:val="0000FF"/>
      <w:u w:val="single"/>
    </w:rPr>
  </w:style>
  <w:style w:type="character" w:customStyle="1" w:styleId="apple-converted-space">
    <w:name w:val="apple-converted-space"/>
    <w:basedOn w:val="Absatz-Standardschriftart"/>
    <w:rsid w:val="005E3224"/>
  </w:style>
  <w:style w:type="paragraph" w:styleId="Sprechblasentext">
    <w:name w:val="Balloon Text"/>
    <w:basedOn w:val="Standard"/>
    <w:link w:val="SprechblasentextZchn"/>
    <w:uiPriority w:val="99"/>
    <w:semiHidden/>
    <w:unhideWhenUsed/>
    <w:rsid w:val="00C5068D"/>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C5068D"/>
    <w:rPr>
      <w:rFonts w:ascii="Tahoma" w:hAnsi="Tahoma" w:cs="Tahoma"/>
      <w:sz w:val="16"/>
      <w:szCs w:val="16"/>
    </w:rPr>
  </w:style>
  <w:style w:type="paragraph" w:styleId="Kopfzeile">
    <w:name w:val="header"/>
    <w:basedOn w:val="Standard"/>
    <w:link w:val="KopfzeileZchn"/>
    <w:uiPriority w:val="99"/>
    <w:unhideWhenUsed/>
    <w:rsid w:val="00F10D4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10D41"/>
  </w:style>
  <w:style w:type="paragraph" w:styleId="Fuzeile">
    <w:name w:val="footer"/>
    <w:basedOn w:val="Standard"/>
    <w:link w:val="FuzeileZchn"/>
    <w:uiPriority w:val="99"/>
    <w:unhideWhenUsed/>
    <w:rsid w:val="00F10D4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10D41"/>
  </w:style>
  <w:style w:type="table" w:styleId="Tabellenraster">
    <w:name w:val="Table Grid"/>
    <w:basedOn w:val="NormaleTabelle"/>
    <w:uiPriority w:val="59"/>
    <w:unhideWhenUsed/>
    <w:rsid w:val="00A5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0E46"/>
    <w:pPr>
      <w:ind w:left="720"/>
      <w:contextualSpacing/>
    </w:pPr>
  </w:style>
  <w:style w:type="paragraph" w:styleId="berarbeitung">
    <w:name w:val="Revision"/>
    <w:hidden/>
    <w:uiPriority w:val="99"/>
    <w:semiHidden/>
    <w:rsid w:val="00680E46"/>
    <w:rPr>
      <w:sz w:val="22"/>
      <w:szCs w:val="22"/>
      <w:lang w:val="en-GB" w:eastAsia="en-US"/>
    </w:rPr>
  </w:style>
  <w:style w:type="paragraph" w:styleId="Funotentext">
    <w:name w:val="footnote text"/>
    <w:basedOn w:val="Standard"/>
    <w:link w:val="FunotentextZchn"/>
    <w:uiPriority w:val="99"/>
    <w:semiHidden/>
    <w:unhideWhenUsed/>
    <w:rsid w:val="001619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61979"/>
    <w:rPr>
      <w:lang w:val="en-GB" w:eastAsia="en-US"/>
    </w:rPr>
  </w:style>
  <w:style w:type="character" w:styleId="Funotenzeichen">
    <w:name w:val="footnote reference"/>
    <w:basedOn w:val="Absatz-Standardschriftart"/>
    <w:uiPriority w:val="99"/>
    <w:semiHidden/>
    <w:unhideWhenUsed/>
    <w:rsid w:val="00161979"/>
    <w:rPr>
      <w:vertAlign w:val="superscript"/>
    </w:rPr>
  </w:style>
  <w:style w:type="table" w:customStyle="1" w:styleId="TableGrid1">
    <w:name w:val="Table Grid1"/>
    <w:basedOn w:val="NormaleTabelle"/>
    <w:next w:val="Tabellenraster"/>
    <w:uiPriority w:val="39"/>
    <w:rsid w:val="009A6F32"/>
    <w:rPr>
      <w:rFonts w:cs="Times New Roman"/>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81F9F"/>
    <w:rPr>
      <w:sz w:val="18"/>
      <w:szCs w:val="18"/>
    </w:rPr>
  </w:style>
  <w:style w:type="paragraph" w:styleId="Kommentartext">
    <w:name w:val="annotation text"/>
    <w:basedOn w:val="Standard"/>
    <w:link w:val="KommentartextZchn"/>
    <w:uiPriority w:val="99"/>
    <w:unhideWhenUsed/>
    <w:rsid w:val="00E81F9F"/>
  </w:style>
  <w:style w:type="character" w:customStyle="1" w:styleId="KommentartextZchn">
    <w:name w:val="Kommentartext Zchn"/>
    <w:basedOn w:val="Absatz-Standardschriftart"/>
    <w:link w:val="Kommentartext"/>
    <w:uiPriority w:val="99"/>
    <w:rsid w:val="00E81F9F"/>
    <w:rPr>
      <w:sz w:val="22"/>
      <w:szCs w:val="22"/>
      <w:lang w:val="en-GB" w:eastAsia="en-US"/>
    </w:rPr>
  </w:style>
  <w:style w:type="paragraph" w:styleId="Kommentarthema">
    <w:name w:val="annotation subject"/>
    <w:basedOn w:val="Kommentartext"/>
    <w:next w:val="Kommentartext"/>
    <w:link w:val="KommentarthemaZchn"/>
    <w:uiPriority w:val="99"/>
    <w:semiHidden/>
    <w:unhideWhenUsed/>
    <w:rsid w:val="00E81F9F"/>
    <w:rPr>
      <w:b/>
      <w:bCs/>
    </w:rPr>
  </w:style>
  <w:style w:type="character" w:customStyle="1" w:styleId="KommentarthemaZchn">
    <w:name w:val="Kommentarthema Zchn"/>
    <w:basedOn w:val="KommentartextZchn"/>
    <w:link w:val="Kommentarthema"/>
    <w:uiPriority w:val="99"/>
    <w:semiHidden/>
    <w:rsid w:val="00E81F9F"/>
    <w:rPr>
      <w:b/>
      <w:bCs/>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F724D-3BB2-47FB-ABDD-747290C9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EFF63AEB</Template>
  <TotalTime>0</TotalTime>
  <Pages>6</Pages>
  <Words>1456</Words>
  <Characters>9177</Characters>
  <Application>Microsoft Office Word</Application>
  <DocSecurity>0</DocSecurity>
  <Lines>76</Lines>
  <Paragraphs>21</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USAID</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Norman Rob</dc:creator>
  <cp:lastModifiedBy>Wolff, Peter</cp:lastModifiedBy>
  <cp:revision>4</cp:revision>
  <dcterms:created xsi:type="dcterms:W3CDTF">2019-01-29T06:47:00Z</dcterms:created>
  <dcterms:modified xsi:type="dcterms:W3CDTF">2019-01-29T09:46:00Z</dcterms:modified>
</cp:coreProperties>
</file>