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542F" w14:textId="77777777" w:rsidR="00C5068D" w:rsidRDefault="001A363B" w:rsidP="00C5068D">
      <w:pPr>
        <w:pStyle w:val="NoSpacing"/>
      </w:pPr>
      <w:r>
        <w:rPr>
          <w:noProof/>
          <w:lang w:val="en-US" w:eastAsia="ja-JP"/>
        </w:rPr>
        <w:drawing>
          <wp:anchor distT="0" distB="0" distL="114300" distR="114300" simplePos="0" relativeHeight="251658240" behindDoc="0" locked="0" layoutInCell="1" allowOverlap="1" wp14:anchorId="204B0849" wp14:editId="6581B7BB">
            <wp:simplePos x="0" y="0"/>
            <wp:positionH relativeFrom="column">
              <wp:posOffset>2135505</wp:posOffset>
            </wp:positionH>
            <wp:positionV relativeFrom="paragraph">
              <wp:posOffset>347</wp:posOffset>
            </wp:positionV>
            <wp:extent cx="1543050" cy="882650"/>
            <wp:effectExtent l="0" t="0" r="0" b="0"/>
            <wp:wrapSquare wrapText="bothSides"/>
            <wp:docPr id="2" name="Picture 4" descr="C:\Users\Trevor &amp; Tami\AppData\Local\Microsoft\Windows\Temporary Internet Files\Content.Outlook\IPUGOR91\INSARAG New Logo w Tag Line 20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Trevor &amp; Tami\AppData\Local\Microsoft\Windows\Temporary Internet Files\Content.Outlook\IPUGOR91\INSARAG New Logo w Tag Line 2010.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53A02" w14:textId="77777777" w:rsidR="00C5068D" w:rsidRDefault="00C5068D" w:rsidP="00C5068D">
      <w:pPr>
        <w:pStyle w:val="NoSpacing"/>
      </w:pPr>
    </w:p>
    <w:p w14:paraId="682C7C93" w14:textId="79665004" w:rsidR="00680E46" w:rsidRDefault="00680E46" w:rsidP="002B6619">
      <w:pPr>
        <w:pStyle w:val="NoSpacing"/>
        <w:jc w:val="center"/>
      </w:pPr>
    </w:p>
    <w:p w14:paraId="65189EA4" w14:textId="77777777" w:rsidR="00937CF1" w:rsidRDefault="00937CF1" w:rsidP="002B6619">
      <w:pPr>
        <w:pStyle w:val="NoSpacing"/>
        <w:jc w:val="center"/>
      </w:pPr>
    </w:p>
    <w:p w14:paraId="4E168D5D" w14:textId="77777777" w:rsidR="00680E46" w:rsidRDefault="00680E46" w:rsidP="00C5068D">
      <w:pPr>
        <w:pStyle w:val="NoSpacing"/>
      </w:pPr>
    </w:p>
    <w:p w14:paraId="0BFADA5C" w14:textId="77777777" w:rsidR="003F3254" w:rsidRDefault="003F3254" w:rsidP="00C5068D">
      <w:pPr>
        <w:pStyle w:val="NoSpacing"/>
      </w:pPr>
    </w:p>
    <w:p w14:paraId="3ABF3BA3" w14:textId="156E518C" w:rsidR="00C5068D" w:rsidRDefault="00C5068D" w:rsidP="00C5068D">
      <w:pPr>
        <w:pStyle w:val="NoSpacing"/>
      </w:pPr>
      <w:r>
        <w:t>TO:</w:t>
      </w:r>
      <w:r>
        <w:tab/>
      </w:r>
      <w:r>
        <w:tab/>
      </w:r>
      <w:r w:rsidR="00124D95">
        <w:t>Rud</w:t>
      </w:r>
      <w:r w:rsidR="00A37403">
        <w:t>i</w:t>
      </w:r>
      <w:r w:rsidR="00124D95">
        <w:t xml:space="preserve"> Muller </w:t>
      </w:r>
      <w:r>
        <w:tab/>
      </w:r>
    </w:p>
    <w:p w14:paraId="555FBF0B" w14:textId="2FF3BC51" w:rsidR="00C5068D" w:rsidRDefault="00C5068D" w:rsidP="00C5068D">
      <w:pPr>
        <w:pStyle w:val="NoSpacing"/>
      </w:pPr>
      <w:r>
        <w:tab/>
      </w:r>
      <w:r>
        <w:tab/>
      </w:r>
      <w:r w:rsidR="00124D95">
        <w:t xml:space="preserve">ERSB- </w:t>
      </w:r>
      <w:r>
        <w:t>INSARAG Secretariat</w:t>
      </w:r>
    </w:p>
    <w:p w14:paraId="5530F93D" w14:textId="77777777" w:rsidR="00C5068D" w:rsidRDefault="00C5068D" w:rsidP="00C5068D">
      <w:pPr>
        <w:pStyle w:val="NoSpacing"/>
      </w:pPr>
    </w:p>
    <w:p w14:paraId="52D676BF" w14:textId="77777777" w:rsidR="00C5068D" w:rsidRDefault="00C5068D" w:rsidP="00C5068D">
      <w:pPr>
        <w:pStyle w:val="NoSpacing"/>
      </w:pPr>
      <w:r>
        <w:t>FROM:</w:t>
      </w:r>
      <w:r>
        <w:tab/>
      </w:r>
      <w:r>
        <w:tab/>
        <w:t>Dewey Perks</w:t>
      </w:r>
    </w:p>
    <w:p w14:paraId="08965236" w14:textId="77777777" w:rsidR="00C5068D" w:rsidRDefault="00C5068D" w:rsidP="00C5068D">
      <w:pPr>
        <w:pStyle w:val="NoSpacing"/>
      </w:pPr>
      <w:r>
        <w:tab/>
      </w:r>
      <w:r>
        <w:tab/>
        <w:t>INSARAG TWG Chair</w:t>
      </w:r>
    </w:p>
    <w:p w14:paraId="09DC8669" w14:textId="77777777" w:rsidR="00C5068D" w:rsidRDefault="00C5068D" w:rsidP="00C5068D">
      <w:pPr>
        <w:pStyle w:val="NoSpacing"/>
      </w:pPr>
    </w:p>
    <w:p w14:paraId="6C1D24BC" w14:textId="6DC6C26C" w:rsidR="00C5068D" w:rsidRDefault="00C5068D" w:rsidP="00C5068D">
      <w:pPr>
        <w:pStyle w:val="NoSpacing"/>
      </w:pPr>
      <w:r>
        <w:t>SUBJECT:</w:t>
      </w:r>
      <w:r>
        <w:tab/>
        <w:t>TWG Meetin</w:t>
      </w:r>
      <w:r w:rsidR="00A254C5">
        <w:t xml:space="preserve">g </w:t>
      </w:r>
      <w:r w:rsidR="00807225">
        <w:t>June 2019</w:t>
      </w:r>
      <w:r w:rsidR="00504306">
        <w:t xml:space="preserve">- </w:t>
      </w:r>
      <w:r>
        <w:t>Minutes</w:t>
      </w:r>
    </w:p>
    <w:p w14:paraId="35174226" w14:textId="77777777" w:rsidR="00C5068D" w:rsidRDefault="00C5068D" w:rsidP="00C5068D">
      <w:pPr>
        <w:pStyle w:val="NoSpacing"/>
      </w:pPr>
    </w:p>
    <w:p w14:paraId="58517D67" w14:textId="727AA877" w:rsidR="00C5068D" w:rsidRDefault="00C5068D" w:rsidP="00C5068D">
      <w:pPr>
        <w:pStyle w:val="NoSpacing"/>
      </w:pPr>
      <w:r>
        <w:t>DATE:</w:t>
      </w:r>
      <w:r>
        <w:tab/>
      </w:r>
      <w:r>
        <w:tab/>
      </w:r>
      <w:r w:rsidR="00124D95">
        <w:t>20 – 25</w:t>
      </w:r>
      <w:r w:rsidR="00124D95" w:rsidRPr="00124D95">
        <w:rPr>
          <w:vertAlign w:val="superscript"/>
        </w:rPr>
        <w:t>th</w:t>
      </w:r>
      <w:r w:rsidR="00124D95">
        <w:t xml:space="preserve"> </w:t>
      </w:r>
      <w:r w:rsidR="00807225">
        <w:t>June</w:t>
      </w:r>
      <w:r w:rsidR="007A60A0">
        <w:t xml:space="preserve"> </w:t>
      </w:r>
      <w:r w:rsidR="00807225">
        <w:t>2019</w:t>
      </w:r>
      <w:r>
        <w:t xml:space="preserve"> </w:t>
      </w:r>
    </w:p>
    <w:p w14:paraId="4944AAD7" w14:textId="77777777" w:rsidR="00D41867" w:rsidRDefault="00D41867" w:rsidP="00D41867">
      <w:pPr>
        <w:pStyle w:val="NoSpacing"/>
        <w:jc w:val="center"/>
      </w:pPr>
    </w:p>
    <w:p w14:paraId="6C27BEAE" w14:textId="77777777" w:rsidR="00BA456B" w:rsidRDefault="00BA456B" w:rsidP="00D41867">
      <w:pPr>
        <w:pStyle w:val="NoSpacing"/>
      </w:pPr>
    </w:p>
    <w:p w14:paraId="6A5ACC73" w14:textId="34A6219C" w:rsidR="005A4C9B" w:rsidRDefault="002B27CF" w:rsidP="00D41867">
      <w:pPr>
        <w:pStyle w:val="NoSpacing"/>
      </w:pPr>
      <w:r>
        <w:t xml:space="preserve">Following the direction of the INSARAG Steering Group, its </w:t>
      </w:r>
      <w:r w:rsidR="005A4C9B">
        <w:t>Training Working Group (TWG)</w:t>
      </w:r>
      <w:r>
        <w:t xml:space="preserve">, augmented and enhanced by others, </w:t>
      </w:r>
      <w:r w:rsidR="005A4C9B">
        <w:t xml:space="preserve">met in </w:t>
      </w:r>
      <w:r w:rsidR="0096488B">
        <w:t>Muscat, Oman from</w:t>
      </w:r>
      <w:r w:rsidR="00807225">
        <w:t xml:space="preserve"> June</w:t>
      </w:r>
      <w:r w:rsidR="0096488B">
        <w:t xml:space="preserve"> 20</w:t>
      </w:r>
      <w:r w:rsidR="0096488B" w:rsidRPr="0096488B">
        <w:rPr>
          <w:vertAlign w:val="superscript"/>
        </w:rPr>
        <w:t>th</w:t>
      </w:r>
      <w:r w:rsidR="0096488B">
        <w:t xml:space="preserve"> to 25</w:t>
      </w:r>
      <w:r w:rsidR="0096488B" w:rsidRPr="0096488B">
        <w:rPr>
          <w:vertAlign w:val="superscript"/>
        </w:rPr>
        <w:t>th</w:t>
      </w:r>
      <w:r w:rsidR="007A60A0">
        <w:t xml:space="preserve"> </w:t>
      </w:r>
      <w:r w:rsidR="00807225">
        <w:t>2019</w:t>
      </w:r>
      <w:r w:rsidR="005A4C9B">
        <w:t xml:space="preserve">. </w:t>
      </w:r>
      <w:r>
        <w:t xml:space="preserve">Participants included the TWG, Information Management Working Group (IMWG), Team Leader and Host Country Representatives. </w:t>
      </w:r>
    </w:p>
    <w:p w14:paraId="38624985" w14:textId="476753D5" w:rsidR="00504306" w:rsidRDefault="002B27CF" w:rsidP="00D41867">
      <w:pPr>
        <w:pStyle w:val="NoSpacing"/>
      </w:pPr>
      <w:r>
        <w:t>TWG</w:t>
      </w:r>
    </w:p>
    <w:p w14:paraId="2DAB42D1" w14:textId="7DB53718" w:rsidR="005A4C9B" w:rsidRDefault="005A4C9B" w:rsidP="00504306">
      <w:pPr>
        <w:pStyle w:val="NoSpacing"/>
        <w:numPr>
          <w:ilvl w:val="0"/>
          <w:numId w:val="2"/>
        </w:numPr>
      </w:pPr>
      <w:r>
        <w:t xml:space="preserve">Dewey Perks </w:t>
      </w:r>
      <w:r w:rsidR="00504306">
        <w:t xml:space="preserve">– Chair </w:t>
      </w:r>
      <w:r>
        <w:t>(United States)</w:t>
      </w:r>
    </w:p>
    <w:p w14:paraId="3FA1C166" w14:textId="1FE6D4FC" w:rsidR="00504306" w:rsidRDefault="00504306" w:rsidP="00504306">
      <w:pPr>
        <w:pStyle w:val="NoSpacing"/>
        <w:numPr>
          <w:ilvl w:val="0"/>
          <w:numId w:val="2"/>
        </w:numPr>
      </w:pPr>
      <w:r>
        <w:t xml:space="preserve">Jacob </w:t>
      </w:r>
      <w:proofErr w:type="spellStart"/>
      <w:r>
        <w:t>Bolwinkel</w:t>
      </w:r>
      <w:proofErr w:type="spellEnd"/>
      <w:r>
        <w:t xml:space="preserve"> (Denmark)</w:t>
      </w:r>
    </w:p>
    <w:p w14:paraId="7EC78AB4" w14:textId="21A45988" w:rsidR="00582FBD" w:rsidRDefault="008B74C2" w:rsidP="00807225">
      <w:pPr>
        <w:pStyle w:val="NoSpacing"/>
        <w:numPr>
          <w:ilvl w:val="0"/>
          <w:numId w:val="2"/>
        </w:numPr>
      </w:pPr>
      <w:r>
        <w:t xml:space="preserve">Tsukasa </w:t>
      </w:r>
      <w:proofErr w:type="spellStart"/>
      <w:r>
        <w:t>Kat</w:t>
      </w:r>
      <w:r w:rsidR="00B80582">
        <w:t>sube</w:t>
      </w:r>
      <w:proofErr w:type="spellEnd"/>
      <w:r w:rsidR="007A60A0">
        <w:t xml:space="preserve"> (Japan)</w:t>
      </w:r>
    </w:p>
    <w:p w14:paraId="47E12315" w14:textId="5FEE2ECF" w:rsidR="00A45C91" w:rsidRDefault="00271B5F" w:rsidP="00A45C91">
      <w:pPr>
        <w:pStyle w:val="NoSpacing"/>
        <w:numPr>
          <w:ilvl w:val="0"/>
          <w:numId w:val="2"/>
        </w:numPr>
      </w:pPr>
      <w:r>
        <w:t xml:space="preserve">Kira </w:t>
      </w:r>
      <w:proofErr w:type="spellStart"/>
      <w:r>
        <w:t>Chebakova</w:t>
      </w:r>
      <w:proofErr w:type="spellEnd"/>
      <w:r>
        <w:t xml:space="preserve"> (Russia)</w:t>
      </w:r>
    </w:p>
    <w:p w14:paraId="4F86AC91" w14:textId="6207FE80" w:rsidR="00807225" w:rsidRDefault="00124D95" w:rsidP="00A45C91">
      <w:pPr>
        <w:pStyle w:val="NoSpacing"/>
        <w:numPr>
          <w:ilvl w:val="0"/>
          <w:numId w:val="2"/>
        </w:numPr>
      </w:pPr>
      <w:r>
        <w:t>Graeme</w:t>
      </w:r>
      <w:r w:rsidR="00807225">
        <w:t xml:space="preserve"> Hall (Australia)</w:t>
      </w:r>
    </w:p>
    <w:p w14:paraId="67BB5275" w14:textId="079F6EC4" w:rsidR="002B27CF" w:rsidRDefault="002B27CF" w:rsidP="00484C3A">
      <w:pPr>
        <w:pStyle w:val="NoSpacing"/>
        <w:ind w:left="720"/>
      </w:pPr>
      <w:r>
        <w:t>IMWG</w:t>
      </w:r>
    </w:p>
    <w:p w14:paraId="68E4D6B4" w14:textId="71D263DB" w:rsidR="00BE5DA5" w:rsidRDefault="00BE5DA5" w:rsidP="00807225">
      <w:pPr>
        <w:pStyle w:val="NoSpacing"/>
        <w:numPr>
          <w:ilvl w:val="0"/>
          <w:numId w:val="2"/>
        </w:numPr>
      </w:pPr>
      <w:r>
        <w:t xml:space="preserve">Rob Norman (United Kingdom) </w:t>
      </w:r>
    </w:p>
    <w:p w14:paraId="54129005" w14:textId="4C05FDDD" w:rsidR="002B27CF" w:rsidRDefault="002B27CF" w:rsidP="00807225">
      <w:pPr>
        <w:pStyle w:val="NoSpacing"/>
        <w:numPr>
          <w:ilvl w:val="0"/>
          <w:numId w:val="2"/>
        </w:numPr>
      </w:pPr>
      <w:r>
        <w:t>Team Leader/GRG</w:t>
      </w:r>
    </w:p>
    <w:p w14:paraId="74468EF2" w14:textId="1CE8D729" w:rsidR="00BE5DA5" w:rsidRDefault="00BE5DA5" w:rsidP="00A45C91">
      <w:pPr>
        <w:pStyle w:val="NoSpacing"/>
        <w:numPr>
          <w:ilvl w:val="0"/>
          <w:numId w:val="2"/>
        </w:numPr>
      </w:pPr>
      <w:r>
        <w:t>Paul Burns (New Zealand) Representative of INSARAG Team Leaders</w:t>
      </w:r>
      <w:r w:rsidR="00826466">
        <w:t xml:space="preserve"> </w:t>
      </w:r>
      <w:r>
        <w:t>/ Guideline Revie</w:t>
      </w:r>
      <w:r w:rsidR="00A45C91">
        <w:t>w</w:t>
      </w:r>
      <w:r>
        <w:t xml:space="preserve"> Group</w:t>
      </w:r>
    </w:p>
    <w:p w14:paraId="2B930B80" w14:textId="78025D26" w:rsidR="002B27CF" w:rsidRDefault="002B27CF" w:rsidP="00A45C91">
      <w:pPr>
        <w:pStyle w:val="NoSpacing"/>
        <w:numPr>
          <w:ilvl w:val="0"/>
          <w:numId w:val="2"/>
        </w:numPr>
      </w:pPr>
      <w:r>
        <w:t xml:space="preserve">Arjan Stam (Netherlands) Remote via email </w:t>
      </w:r>
    </w:p>
    <w:p w14:paraId="0DBC73AB" w14:textId="38283C8D" w:rsidR="002B27CF" w:rsidRDefault="002B27CF" w:rsidP="00A45C91">
      <w:pPr>
        <w:pStyle w:val="NoSpacing"/>
        <w:numPr>
          <w:ilvl w:val="0"/>
          <w:numId w:val="2"/>
        </w:numPr>
      </w:pPr>
      <w:r>
        <w:t>INSARAG</w:t>
      </w:r>
    </w:p>
    <w:p w14:paraId="17C1CD77" w14:textId="7AA7AE8F" w:rsidR="003F3254" w:rsidRDefault="00807225" w:rsidP="003E7C52">
      <w:pPr>
        <w:pStyle w:val="NoSpacing"/>
        <w:numPr>
          <w:ilvl w:val="0"/>
          <w:numId w:val="2"/>
        </w:numPr>
      </w:pPr>
      <w:r>
        <w:t xml:space="preserve">Martijn </w:t>
      </w:r>
      <w:r w:rsidR="003E7C52" w:rsidRPr="003E7C52">
        <w:t xml:space="preserve">Viersma </w:t>
      </w:r>
      <w:r w:rsidR="009F7BFB">
        <w:t>(OCHA)</w:t>
      </w:r>
      <w:r w:rsidR="00BE5DA5">
        <w:t xml:space="preserve"> INSARAG Secretariat</w:t>
      </w:r>
    </w:p>
    <w:p w14:paraId="0DE08CC7" w14:textId="27098859" w:rsidR="002B27CF" w:rsidRDefault="002B27CF" w:rsidP="003E7C52">
      <w:pPr>
        <w:pStyle w:val="NoSpacing"/>
        <w:numPr>
          <w:ilvl w:val="0"/>
          <w:numId w:val="2"/>
        </w:numPr>
      </w:pPr>
      <w:r>
        <w:t>Mentor Relationship</w:t>
      </w:r>
    </w:p>
    <w:p w14:paraId="7972AC8F" w14:textId="6B88C3D6" w:rsidR="00807225" w:rsidRDefault="00807225" w:rsidP="00194507">
      <w:pPr>
        <w:pStyle w:val="NoSpacing"/>
        <w:numPr>
          <w:ilvl w:val="0"/>
          <w:numId w:val="2"/>
        </w:numPr>
      </w:pPr>
      <w:proofErr w:type="spellStart"/>
      <w:r>
        <w:t>Terje</w:t>
      </w:r>
      <w:proofErr w:type="spellEnd"/>
      <w:r w:rsidR="00194507">
        <w:t xml:space="preserve"> </w:t>
      </w:r>
      <w:proofErr w:type="spellStart"/>
      <w:r w:rsidR="00194507" w:rsidRPr="00194507">
        <w:t>Skavdal</w:t>
      </w:r>
      <w:proofErr w:type="spellEnd"/>
      <w:r w:rsidR="00FE5432">
        <w:t xml:space="preserve"> </w:t>
      </w:r>
      <w:r w:rsidR="00096AEB">
        <w:t>(Consultant)</w:t>
      </w:r>
    </w:p>
    <w:p w14:paraId="33F9994F" w14:textId="33C0854A" w:rsidR="00807225" w:rsidRDefault="00807225" w:rsidP="00D24488">
      <w:pPr>
        <w:pStyle w:val="NoSpacing"/>
        <w:numPr>
          <w:ilvl w:val="0"/>
          <w:numId w:val="2"/>
        </w:numPr>
      </w:pPr>
      <w:r>
        <w:t>Trevor</w:t>
      </w:r>
      <w:r w:rsidR="00194507">
        <w:t xml:space="preserve"> Glass</w:t>
      </w:r>
      <w:r w:rsidR="00154D4D">
        <w:t xml:space="preserve"> </w:t>
      </w:r>
      <w:r w:rsidR="00096AEB">
        <w:t>(Consultant)</w:t>
      </w:r>
    </w:p>
    <w:p w14:paraId="7BC6423E" w14:textId="3B940419" w:rsidR="002B27CF" w:rsidRDefault="002B27CF" w:rsidP="00D24488">
      <w:pPr>
        <w:pStyle w:val="NoSpacing"/>
        <w:numPr>
          <w:ilvl w:val="0"/>
          <w:numId w:val="2"/>
        </w:numPr>
      </w:pPr>
      <w:r>
        <w:t>Host Country</w:t>
      </w:r>
    </w:p>
    <w:p w14:paraId="386E1085" w14:textId="1647EAD5" w:rsidR="002B27CF" w:rsidRDefault="002B27CF" w:rsidP="00D24488">
      <w:pPr>
        <w:pStyle w:val="NoSpacing"/>
        <w:numPr>
          <w:ilvl w:val="0"/>
          <w:numId w:val="2"/>
        </w:numPr>
      </w:pPr>
      <w:r>
        <w:t>Mohammed</w:t>
      </w:r>
    </w:p>
    <w:p w14:paraId="6008A400" w14:textId="3BF3F39F" w:rsidR="002B27CF" w:rsidRDefault="002B27CF" w:rsidP="00D24488">
      <w:pPr>
        <w:pStyle w:val="NoSpacing"/>
        <w:numPr>
          <w:ilvl w:val="0"/>
          <w:numId w:val="2"/>
        </w:numPr>
      </w:pPr>
      <w:r>
        <w:t xml:space="preserve">Faisal </w:t>
      </w:r>
    </w:p>
    <w:p w14:paraId="424C9066" w14:textId="520C1331" w:rsidR="002171A5" w:rsidRDefault="002171A5" w:rsidP="00875BFD">
      <w:pPr>
        <w:pStyle w:val="NoSpacing"/>
        <w:rPr>
          <w:rFonts w:cs="Calibri"/>
        </w:rPr>
      </w:pPr>
    </w:p>
    <w:p w14:paraId="7B59A24C" w14:textId="5636BFE7" w:rsidR="00D41867" w:rsidRDefault="00D41867" w:rsidP="00D41867">
      <w:pPr>
        <w:pStyle w:val="NoSpacing"/>
      </w:pPr>
      <w:r>
        <w:t xml:space="preserve">Welcoming remarks </w:t>
      </w:r>
      <w:r w:rsidR="005A4C9B">
        <w:t xml:space="preserve">were made </w:t>
      </w:r>
      <w:r>
        <w:t>by</w:t>
      </w:r>
      <w:r w:rsidR="00504306">
        <w:t xml:space="preserve"> </w:t>
      </w:r>
      <w:r w:rsidR="00770DC5">
        <w:t xml:space="preserve">Martijn </w:t>
      </w:r>
      <w:r w:rsidR="00770DC5" w:rsidRPr="003E7C52">
        <w:t xml:space="preserve">Viersma </w:t>
      </w:r>
      <w:r w:rsidR="00770DC5">
        <w:t xml:space="preserve">and </w:t>
      </w:r>
      <w:r w:rsidR="00504306">
        <w:t>Dewey Perk</w:t>
      </w:r>
      <w:r w:rsidR="00336D5B">
        <w:t xml:space="preserve">s </w:t>
      </w:r>
      <w:r w:rsidR="005A4C9B">
        <w:t>explain</w:t>
      </w:r>
      <w:r w:rsidR="00336D5B">
        <w:t>ing</w:t>
      </w:r>
      <w:r w:rsidR="005A4C9B">
        <w:t xml:space="preserve"> the ground rules for </w:t>
      </w:r>
      <w:r w:rsidR="00AD58E7">
        <w:t>t</w:t>
      </w:r>
      <w:r w:rsidR="005A4C9B">
        <w:t>he meeting and welcom</w:t>
      </w:r>
      <w:r w:rsidR="002F3BE9">
        <w:t>ing</w:t>
      </w:r>
      <w:r w:rsidR="005A4C9B">
        <w:t xml:space="preserve"> all participants on behalf of </w:t>
      </w:r>
      <w:r w:rsidR="00AD58E7">
        <w:t>Manuel Bessler, INSARAG Global Chair</w:t>
      </w:r>
      <w:r w:rsidR="005A4C9B">
        <w:t>.</w:t>
      </w:r>
    </w:p>
    <w:p w14:paraId="3684784B" w14:textId="337A8389" w:rsidR="00807225" w:rsidRDefault="00807225" w:rsidP="00807225">
      <w:pPr>
        <w:pStyle w:val="NoSpacing"/>
        <w:ind w:left="720"/>
        <w:rPr>
          <w:rStyle w:val="apple-converted-space"/>
          <w:rFonts w:cs="Calibri"/>
        </w:rPr>
      </w:pPr>
    </w:p>
    <w:p w14:paraId="6CD55C9B" w14:textId="56823908" w:rsidR="00C22EA2" w:rsidRPr="002415B0" w:rsidRDefault="00C22EA2" w:rsidP="00D41867">
      <w:pPr>
        <w:pStyle w:val="NoSpacing"/>
      </w:pPr>
      <w:r w:rsidRPr="002415B0">
        <w:t>Initial discussions regarding;</w:t>
      </w:r>
    </w:p>
    <w:p w14:paraId="7A973E0E" w14:textId="2F4DC5FD" w:rsidR="00124D95" w:rsidRPr="002415B0" w:rsidRDefault="00807225" w:rsidP="004A7AF8">
      <w:pPr>
        <w:pStyle w:val="NoSpacing"/>
        <w:numPr>
          <w:ilvl w:val="0"/>
          <w:numId w:val="9"/>
        </w:numPr>
      </w:pPr>
      <w:r w:rsidRPr="002415B0">
        <w:t>Update and overview of the Guidelines Review Group</w:t>
      </w:r>
      <w:r w:rsidR="00770DC5">
        <w:t xml:space="preserve"> (GRG)</w:t>
      </w:r>
      <w:r w:rsidRPr="002415B0">
        <w:t xml:space="preserve"> was given by Paul Burns. The </w:t>
      </w:r>
      <w:r w:rsidR="00770DC5">
        <w:t>GRG</w:t>
      </w:r>
      <w:r w:rsidR="00770DC5" w:rsidRPr="002415B0">
        <w:t xml:space="preserve"> </w:t>
      </w:r>
      <w:r w:rsidRPr="002415B0">
        <w:t>are working well to collate changes and update the current</w:t>
      </w:r>
      <w:r w:rsidR="00124D95" w:rsidRPr="002415B0">
        <w:t xml:space="preserve"> content</w:t>
      </w:r>
      <w:r w:rsidRPr="002415B0">
        <w:t>, with the aim of presenting the revisions at the INSARAG Team Leaders Meeting in October.</w:t>
      </w:r>
      <w:r w:rsidR="00194507" w:rsidRPr="002415B0">
        <w:t xml:space="preserve"> </w:t>
      </w:r>
    </w:p>
    <w:p w14:paraId="09D7B63A" w14:textId="77777777" w:rsidR="00770DC5" w:rsidRDefault="00770DC5" w:rsidP="00124D95">
      <w:pPr>
        <w:pStyle w:val="NoSpacing"/>
        <w:ind w:left="720"/>
      </w:pPr>
    </w:p>
    <w:p w14:paraId="124EB1EC" w14:textId="2E72EC15" w:rsidR="00124D95" w:rsidRPr="002415B0" w:rsidRDefault="00770DC5" w:rsidP="00124D95">
      <w:pPr>
        <w:pStyle w:val="NoSpacing"/>
        <w:ind w:left="720"/>
      </w:pPr>
      <w:r>
        <w:lastRenderedPageBreak/>
        <w:t xml:space="preserve">Open Issue: </w:t>
      </w:r>
      <w:r w:rsidR="00194507" w:rsidRPr="002415B0">
        <w:t>Discussion occurred regarding who has the ultimate ownership of the revisions to the Guidelines, and ensuring that consensus on what was being proposed, has been reach</w:t>
      </w:r>
      <w:r w:rsidR="00124D95" w:rsidRPr="002415B0">
        <w:t>ed by all involved.</w:t>
      </w:r>
    </w:p>
    <w:p w14:paraId="4E356857" w14:textId="77777777" w:rsidR="0056388E" w:rsidRPr="002415B0" w:rsidRDefault="0056388E" w:rsidP="00124D95">
      <w:pPr>
        <w:pStyle w:val="NoSpacing"/>
        <w:ind w:left="720"/>
      </w:pPr>
    </w:p>
    <w:p w14:paraId="412ECF94" w14:textId="77777777" w:rsidR="0056388E" w:rsidRPr="002415B0" w:rsidRDefault="0056388E" w:rsidP="00124D95">
      <w:pPr>
        <w:pStyle w:val="NoSpacing"/>
        <w:ind w:left="720"/>
      </w:pPr>
      <w:r w:rsidRPr="002415B0">
        <w:t>Further consideration has been</w:t>
      </w:r>
      <w:r w:rsidR="00194507" w:rsidRPr="002415B0">
        <w:t xml:space="preserve"> given to the amount of </w:t>
      </w:r>
      <w:r w:rsidR="005F2614" w:rsidRPr="002415B0">
        <w:t>information</w:t>
      </w:r>
      <w:r w:rsidR="00194507" w:rsidRPr="002415B0">
        <w:t xml:space="preserve"> that is being taken out of the Guidelines documents and placed into annexes</w:t>
      </w:r>
      <w:r w:rsidR="005F2614" w:rsidRPr="002415B0">
        <w:t>, ensuring that sufficient content remains in the manuals.</w:t>
      </w:r>
    </w:p>
    <w:p w14:paraId="64E561BF" w14:textId="77777777" w:rsidR="00770DC5" w:rsidRDefault="00770DC5" w:rsidP="00124D95">
      <w:pPr>
        <w:pStyle w:val="NoSpacing"/>
        <w:ind w:left="720"/>
      </w:pPr>
    </w:p>
    <w:p w14:paraId="43C76610" w14:textId="6A53DF20" w:rsidR="004A7AF8" w:rsidRPr="002415B0" w:rsidRDefault="00770DC5" w:rsidP="00124D95">
      <w:pPr>
        <w:pStyle w:val="NoSpacing"/>
        <w:ind w:left="720"/>
      </w:pPr>
      <w:r>
        <w:t xml:space="preserve">Open Issue: </w:t>
      </w:r>
      <w:r w:rsidR="00124D95" w:rsidRPr="002415B0">
        <w:t>It is unclear</w:t>
      </w:r>
      <w:r w:rsidR="0071344D">
        <w:t xml:space="preserve"> to the participants of this meeting</w:t>
      </w:r>
      <w:r w:rsidR="004A7AF8" w:rsidRPr="002415B0">
        <w:t>, what the status of the Light Working Group will be with regards to production and maintenance of content such as the Light Team Classification checklist.</w:t>
      </w:r>
    </w:p>
    <w:p w14:paraId="3CC2D854" w14:textId="77777777" w:rsidR="0056388E" w:rsidRDefault="0056388E" w:rsidP="00124D95">
      <w:pPr>
        <w:pStyle w:val="NoSpacing"/>
        <w:ind w:left="720"/>
        <w:rPr>
          <w:color w:val="FF0000"/>
        </w:rPr>
      </w:pPr>
    </w:p>
    <w:p w14:paraId="332D1A0C" w14:textId="601F4A7D" w:rsidR="00770DC5" w:rsidRDefault="00CE56DD" w:rsidP="00770DC5">
      <w:pPr>
        <w:pStyle w:val="NoSpacing"/>
        <w:numPr>
          <w:ilvl w:val="0"/>
          <w:numId w:val="38"/>
        </w:numPr>
      </w:pPr>
      <w:r>
        <w:t>T</w:t>
      </w:r>
      <w:r w:rsidR="004A1E52">
        <w:t>he participants also expressed</w:t>
      </w:r>
      <w:r w:rsidR="004A7AF8" w:rsidRPr="00A86598">
        <w:t xml:space="preserve"> confusion between information that the Working Groups are circulating, and information that is being posted on INSARAG.o</w:t>
      </w:r>
      <w:r w:rsidR="0056388E" w:rsidRPr="00A86598">
        <w:t xml:space="preserve">rg. </w:t>
      </w:r>
      <w:r w:rsidR="00770DC5">
        <w:t xml:space="preserve"> </w:t>
      </w:r>
      <w:r w:rsidR="0056388E" w:rsidRPr="00A86598">
        <w:t xml:space="preserve">An example of this is </w:t>
      </w:r>
      <w:r w:rsidR="004A7AF8" w:rsidRPr="00A86598">
        <w:t xml:space="preserve">the </w:t>
      </w:r>
      <w:r w:rsidR="0056388E" w:rsidRPr="00A86598">
        <w:t xml:space="preserve">current Checklist; </w:t>
      </w:r>
      <w:r w:rsidR="004A7AF8" w:rsidRPr="00A86598">
        <w:t xml:space="preserve">Working Groups have </w:t>
      </w:r>
      <w:r w:rsidR="00770DC5">
        <w:t>recommended</w:t>
      </w:r>
      <w:r w:rsidR="00770DC5" w:rsidRPr="00A86598">
        <w:t xml:space="preserve"> </w:t>
      </w:r>
      <w:r w:rsidR="0056388E" w:rsidRPr="00A86598">
        <w:t xml:space="preserve">that colours </w:t>
      </w:r>
      <w:r w:rsidR="004A7AF8" w:rsidRPr="00A86598">
        <w:t>will no longer be used, and that the Light Teams will have</w:t>
      </w:r>
      <w:r w:rsidR="00124D95" w:rsidRPr="00A86598">
        <w:t xml:space="preserve"> a separate Checklist. </w:t>
      </w:r>
    </w:p>
    <w:p w14:paraId="526D40AE" w14:textId="4192AE14" w:rsidR="0056388E" w:rsidRPr="00A86598" w:rsidRDefault="0056388E" w:rsidP="00484C3A">
      <w:pPr>
        <w:pStyle w:val="NoSpacing"/>
        <w:numPr>
          <w:ilvl w:val="0"/>
          <w:numId w:val="38"/>
        </w:numPr>
      </w:pPr>
      <w:r w:rsidRPr="00A86598">
        <w:t>It has also been suggested that there will be separate checklists for Classifications, and Reclassifications.</w:t>
      </w:r>
    </w:p>
    <w:p w14:paraId="3777862A" w14:textId="7E1F6165" w:rsidR="004A7AF8" w:rsidRPr="00A86598" w:rsidRDefault="00124D95" w:rsidP="00484C3A">
      <w:pPr>
        <w:pStyle w:val="NoSpacing"/>
        <w:numPr>
          <w:ilvl w:val="0"/>
          <w:numId w:val="38"/>
        </w:numPr>
      </w:pPr>
      <w:r w:rsidRPr="00A86598">
        <w:t>T</w:t>
      </w:r>
      <w:r w:rsidR="004A7AF8" w:rsidRPr="00A86598">
        <w:t xml:space="preserve">he current Checklist posted </w:t>
      </w:r>
      <w:r w:rsidR="001252F7" w:rsidRPr="00A86598">
        <w:t>on INSARAG.</w:t>
      </w:r>
      <w:r w:rsidR="004A7AF8" w:rsidRPr="00A86598">
        <w:t>org, includes Light,</w:t>
      </w:r>
      <w:r w:rsidR="007F5399">
        <w:t xml:space="preserve"> Medium, and Heavy teams, </w:t>
      </w:r>
      <w:r w:rsidRPr="00A86598">
        <w:t>and includes</w:t>
      </w:r>
      <w:r w:rsidR="002415B0" w:rsidRPr="00A86598">
        <w:t xml:space="preserve"> colours on the Checklist.</w:t>
      </w:r>
      <w:r w:rsidR="004A1E52">
        <w:t xml:space="preserve"> There is no checklist posted for the National Accreditation Process. </w:t>
      </w:r>
    </w:p>
    <w:p w14:paraId="7208D69B" w14:textId="261B772C" w:rsidR="001252F7" w:rsidRDefault="001252F7" w:rsidP="004A7AF8">
      <w:pPr>
        <w:pStyle w:val="NoSpacing"/>
        <w:ind w:left="720"/>
        <w:rPr>
          <w:color w:val="FF0000"/>
        </w:rPr>
      </w:pPr>
    </w:p>
    <w:p w14:paraId="06B7A183" w14:textId="48D7B276" w:rsidR="00944AC9" w:rsidRPr="00484C3A" w:rsidRDefault="00944AC9" w:rsidP="004A7AF8">
      <w:pPr>
        <w:pStyle w:val="NoSpacing"/>
        <w:ind w:left="720"/>
      </w:pPr>
      <w:r w:rsidRPr="00484C3A">
        <w:t xml:space="preserve">The Table below highlights the current status and </w:t>
      </w:r>
      <w:r w:rsidR="004A1E52" w:rsidRPr="00484C3A">
        <w:t xml:space="preserve">announced </w:t>
      </w:r>
      <w:r w:rsidRPr="00484C3A">
        <w:t>owner of the relevant Checklists, where know</w:t>
      </w:r>
      <w:r w:rsidR="007053A0" w:rsidRPr="00484C3A">
        <w:t>n</w:t>
      </w:r>
      <w:r w:rsidRPr="00484C3A">
        <w:t xml:space="preserve">. It is important that the </w:t>
      </w:r>
      <w:r w:rsidR="002F6DCF" w:rsidRPr="00484C3A">
        <w:t xml:space="preserve">Secretariat </w:t>
      </w:r>
      <w:r w:rsidR="004A1E52" w:rsidRPr="00484C3A">
        <w:t xml:space="preserve">clarify this information </w:t>
      </w:r>
      <w:r w:rsidRPr="00484C3A">
        <w:t xml:space="preserve">as soon as possible so </w:t>
      </w:r>
      <w:r w:rsidR="004A1E52" w:rsidRPr="00484C3A">
        <w:t>it</w:t>
      </w:r>
      <w:r w:rsidRPr="00484C3A">
        <w:t xml:space="preserve"> can be circulated for review prior to the USAR Team Leaders Meeting in October.</w:t>
      </w:r>
    </w:p>
    <w:tbl>
      <w:tblPr>
        <w:tblStyle w:val="TableGrid"/>
        <w:tblpPr w:leftFromText="180" w:rightFromText="180" w:vertAnchor="text" w:horzAnchor="margin" w:tblpXSpec="right" w:tblpY="154"/>
        <w:tblW w:w="8399" w:type="dxa"/>
        <w:tblLook w:val="04A0" w:firstRow="1" w:lastRow="0" w:firstColumn="1" w:lastColumn="0" w:noHBand="0" w:noVBand="1"/>
      </w:tblPr>
      <w:tblGrid>
        <w:gridCol w:w="2360"/>
        <w:gridCol w:w="1042"/>
        <w:gridCol w:w="2977"/>
        <w:gridCol w:w="2020"/>
      </w:tblGrid>
      <w:tr w:rsidR="00A86598" w14:paraId="0A40E1C1" w14:textId="77777777" w:rsidTr="00A86598">
        <w:tc>
          <w:tcPr>
            <w:tcW w:w="2360" w:type="dxa"/>
            <w:shd w:val="clear" w:color="auto" w:fill="D9D9D9" w:themeFill="background1" w:themeFillShade="D9"/>
          </w:tcPr>
          <w:p w14:paraId="6915CCF0" w14:textId="77777777" w:rsidR="00A86598" w:rsidRPr="007F5399" w:rsidRDefault="00A86598" w:rsidP="00A86598">
            <w:pPr>
              <w:pStyle w:val="NoSpacing"/>
            </w:pPr>
            <w:r w:rsidRPr="007F5399">
              <w:t>Checklist Type</w:t>
            </w:r>
          </w:p>
        </w:tc>
        <w:tc>
          <w:tcPr>
            <w:tcW w:w="1042" w:type="dxa"/>
            <w:shd w:val="clear" w:color="auto" w:fill="D9D9D9" w:themeFill="background1" w:themeFillShade="D9"/>
          </w:tcPr>
          <w:p w14:paraId="0463FDAA" w14:textId="77777777" w:rsidR="00A86598" w:rsidRPr="007F5399" w:rsidRDefault="00A86598" w:rsidP="00A86598">
            <w:pPr>
              <w:pStyle w:val="NoSpacing"/>
              <w:jc w:val="center"/>
            </w:pPr>
            <w:r w:rsidRPr="007F5399">
              <w:t>OWNER</w:t>
            </w:r>
          </w:p>
        </w:tc>
        <w:tc>
          <w:tcPr>
            <w:tcW w:w="2977" w:type="dxa"/>
            <w:shd w:val="clear" w:color="auto" w:fill="D9D9D9" w:themeFill="background1" w:themeFillShade="D9"/>
          </w:tcPr>
          <w:p w14:paraId="0B071A82" w14:textId="77777777" w:rsidR="00A86598" w:rsidRPr="007F5399" w:rsidRDefault="00A86598" w:rsidP="00A86598">
            <w:pPr>
              <w:pStyle w:val="NoSpacing"/>
            </w:pPr>
            <w:r w:rsidRPr="007F5399">
              <w:t>Current Version</w:t>
            </w:r>
          </w:p>
        </w:tc>
        <w:tc>
          <w:tcPr>
            <w:tcW w:w="2020" w:type="dxa"/>
            <w:shd w:val="clear" w:color="auto" w:fill="D9D9D9" w:themeFill="background1" w:themeFillShade="D9"/>
          </w:tcPr>
          <w:p w14:paraId="2A90A619" w14:textId="77777777" w:rsidR="00A86598" w:rsidRPr="007F5399" w:rsidRDefault="00A86598" w:rsidP="00A86598">
            <w:pPr>
              <w:pStyle w:val="NoSpacing"/>
            </w:pPr>
            <w:r w:rsidRPr="007F5399">
              <w:t>Version in Development</w:t>
            </w:r>
          </w:p>
        </w:tc>
      </w:tr>
      <w:tr w:rsidR="00A86598" w14:paraId="61E1E4D0" w14:textId="77777777" w:rsidTr="00A86598">
        <w:tc>
          <w:tcPr>
            <w:tcW w:w="2360" w:type="dxa"/>
          </w:tcPr>
          <w:p w14:paraId="76216654" w14:textId="77777777" w:rsidR="00A86598" w:rsidRPr="007F5399" w:rsidRDefault="00A86598" w:rsidP="00A86598">
            <w:pPr>
              <w:pStyle w:val="NoSpacing"/>
            </w:pPr>
            <w:r w:rsidRPr="007F5399">
              <w:t>Medium &amp; Heavy IEC</w:t>
            </w:r>
          </w:p>
        </w:tc>
        <w:tc>
          <w:tcPr>
            <w:tcW w:w="1042" w:type="dxa"/>
          </w:tcPr>
          <w:p w14:paraId="7A5F8DB6" w14:textId="77777777" w:rsidR="00A86598" w:rsidRPr="007F5399" w:rsidRDefault="00A86598" w:rsidP="00A86598">
            <w:pPr>
              <w:pStyle w:val="NoSpacing"/>
              <w:jc w:val="center"/>
            </w:pPr>
            <w:r w:rsidRPr="007F5399">
              <w:t>TWG</w:t>
            </w:r>
          </w:p>
        </w:tc>
        <w:tc>
          <w:tcPr>
            <w:tcW w:w="2977" w:type="dxa"/>
          </w:tcPr>
          <w:p w14:paraId="3ECC8038" w14:textId="77777777" w:rsidR="00A86598" w:rsidRPr="007F5399" w:rsidRDefault="00A86598" w:rsidP="00A86598">
            <w:pPr>
              <w:pStyle w:val="NoSpacing"/>
            </w:pPr>
            <w:r w:rsidRPr="007F5399">
              <w:t>Feb 2019 on VO</w:t>
            </w:r>
          </w:p>
        </w:tc>
        <w:tc>
          <w:tcPr>
            <w:tcW w:w="2020" w:type="dxa"/>
          </w:tcPr>
          <w:p w14:paraId="465FBCFC" w14:textId="0ABFA2E8" w:rsidR="00A86598" w:rsidRPr="007F5399" w:rsidRDefault="007F5399" w:rsidP="00A86598">
            <w:pPr>
              <w:pStyle w:val="NoSpacing"/>
            </w:pPr>
            <w:r>
              <w:t>2019V1 From Oman</w:t>
            </w:r>
          </w:p>
        </w:tc>
      </w:tr>
      <w:tr w:rsidR="00A86598" w14:paraId="66D1C883" w14:textId="77777777" w:rsidTr="00A86598">
        <w:tc>
          <w:tcPr>
            <w:tcW w:w="2360" w:type="dxa"/>
          </w:tcPr>
          <w:p w14:paraId="3213F487" w14:textId="77777777" w:rsidR="00A86598" w:rsidRPr="007F5399" w:rsidRDefault="00A86598" w:rsidP="00A86598">
            <w:pPr>
              <w:pStyle w:val="NoSpacing"/>
            </w:pPr>
            <w:r w:rsidRPr="007F5399">
              <w:t>Medium and Heavy IER</w:t>
            </w:r>
          </w:p>
        </w:tc>
        <w:tc>
          <w:tcPr>
            <w:tcW w:w="1042" w:type="dxa"/>
          </w:tcPr>
          <w:p w14:paraId="4298A746" w14:textId="77777777" w:rsidR="00A86598" w:rsidRPr="007F5399" w:rsidRDefault="00A86598" w:rsidP="00A86598">
            <w:pPr>
              <w:pStyle w:val="NoSpacing"/>
              <w:jc w:val="center"/>
            </w:pPr>
            <w:r w:rsidRPr="007F5399">
              <w:t>TWG</w:t>
            </w:r>
          </w:p>
        </w:tc>
        <w:tc>
          <w:tcPr>
            <w:tcW w:w="2977" w:type="dxa"/>
          </w:tcPr>
          <w:p w14:paraId="75560629" w14:textId="77777777" w:rsidR="00A86598" w:rsidRPr="007F5399" w:rsidRDefault="00A86598" w:rsidP="00A86598">
            <w:pPr>
              <w:pStyle w:val="NoSpacing"/>
            </w:pPr>
            <w:r w:rsidRPr="007F5399">
              <w:t>Feb 2019 on VO</w:t>
            </w:r>
          </w:p>
        </w:tc>
        <w:tc>
          <w:tcPr>
            <w:tcW w:w="2020" w:type="dxa"/>
          </w:tcPr>
          <w:p w14:paraId="00375C04" w14:textId="00CF9520" w:rsidR="00A86598" w:rsidRPr="007F5399" w:rsidRDefault="007F5399" w:rsidP="00A86598">
            <w:pPr>
              <w:pStyle w:val="NoSpacing"/>
            </w:pPr>
            <w:r>
              <w:t>2019V1 From Oman</w:t>
            </w:r>
          </w:p>
        </w:tc>
      </w:tr>
      <w:tr w:rsidR="00A86598" w14:paraId="7D6974E2" w14:textId="77777777" w:rsidTr="00A86598">
        <w:tc>
          <w:tcPr>
            <w:tcW w:w="2360" w:type="dxa"/>
          </w:tcPr>
          <w:p w14:paraId="1906393D" w14:textId="77777777" w:rsidR="00A86598" w:rsidRPr="007F5399" w:rsidRDefault="00A86598" w:rsidP="00A86598">
            <w:pPr>
              <w:pStyle w:val="NoSpacing"/>
            </w:pPr>
            <w:r w:rsidRPr="007F5399">
              <w:t>Light IEC</w:t>
            </w:r>
          </w:p>
        </w:tc>
        <w:tc>
          <w:tcPr>
            <w:tcW w:w="1042" w:type="dxa"/>
          </w:tcPr>
          <w:p w14:paraId="1ECE8D63" w14:textId="77777777" w:rsidR="00A86598" w:rsidRPr="007F5399" w:rsidRDefault="00A86598" w:rsidP="00A86598">
            <w:pPr>
              <w:pStyle w:val="NoSpacing"/>
              <w:jc w:val="center"/>
            </w:pPr>
            <w:r w:rsidRPr="007F5399">
              <w:t>?</w:t>
            </w:r>
          </w:p>
        </w:tc>
        <w:tc>
          <w:tcPr>
            <w:tcW w:w="2977" w:type="dxa"/>
          </w:tcPr>
          <w:p w14:paraId="7512D997" w14:textId="5230C174" w:rsidR="00A86598" w:rsidRPr="007F5399" w:rsidRDefault="00A86598" w:rsidP="00A86598">
            <w:pPr>
              <w:pStyle w:val="NoSpacing"/>
            </w:pPr>
            <w:r w:rsidRPr="007F5399">
              <w:t xml:space="preserve">Feb 2019 on VO </w:t>
            </w:r>
            <w:r w:rsidR="00484C3A" w:rsidRPr="007F5399">
              <w:t>with</w:t>
            </w:r>
            <w:r w:rsidRPr="007F5399">
              <w:t xml:space="preserve"> Heavy &amp; Medium IEC/R</w:t>
            </w:r>
          </w:p>
        </w:tc>
        <w:tc>
          <w:tcPr>
            <w:tcW w:w="2020" w:type="dxa"/>
          </w:tcPr>
          <w:p w14:paraId="6F3272C2" w14:textId="23E82904" w:rsidR="00A86598" w:rsidRPr="007F5399" w:rsidRDefault="007F5399" w:rsidP="00A86598">
            <w:pPr>
              <w:pStyle w:val="NoSpacing"/>
            </w:pPr>
            <w:r>
              <w:t>Separate v</w:t>
            </w:r>
            <w:r w:rsidR="00A86598" w:rsidRPr="007F5399">
              <w:t>ersion</w:t>
            </w:r>
            <w:r>
              <w:t xml:space="preserve"> being produced</w:t>
            </w:r>
            <w:r w:rsidR="00A86598" w:rsidRPr="007F5399">
              <w:t>?</w:t>
            </w:r>
          </w:p>
        </w:tc>
      </w:tr>
      <w:tr w:rsidR="00A86598" w14:paraId="7C3A2364" w14:textId="77777777" w:rsidTr="00A86598">
        <w:tc>
          <w:tcPr>
            <w:tcW w:w="2360" w:type="dxa"/>
          </w:tcPr>
          <w:p w14:paraId="51B5FE68" w14:textId="77777777" w:rsidR="00A86598" w:rsidRPr="007F5399" w:rsidRDefault="00A86598" w:rsidP="00A86598">
            <w:pPr>
              <w:pStyle w:val="NoSpacing"/>
            </w:pPr>
            <w:r w:rsidRPr="007F5399">
              <w:t>Light IER</w:t>
            </w:r>
          </w:p>
        </w:tc>
        <w:tc>
          <w:tcPr>
            <w:tcW w:w="1042" w:type="dxa"/>
          </w:tcPr>
          <w:p w14:paraId="4DEDC2CF" w14:textId="77777777" w:rsidR="00A86598" w:rsidRPr="007F5399" w:rsidRDefault="00A86598" w:rsidP="00A86598">
            <w:pPr>
              <w:pStyle w:val="NoSpacing"/>
              <w:jc w:val="center"/>
            </w:pPr>
            <w:r w:rsidRPr="007F5399">
              <w:t>?</w:t>
            </w:r>
          </w:p>
        </w:tc>
        <w:tc>
          <w:tcPr>
            <w:tcW w:w="2977" w:type="dxa"/>
          </w:tcPr>
          <w:p w14:paraId="35574FAC" w14:textId="77777777" w:rsidR="00A86598" w:rsidRPr="007F5399" w:rsidRDefault="00A86598" w:rsidP="00A86598">
            <w:pPr>
              <w:pStyle w:val="NoSpacing"/>
            </w:pPr>
            <w:r w:rsidRPr="007F5399">
              <w:t>Light IER</w:t>
            </w:r>
          </w:p>
        </w:tc>
        <w:tc>
          <w:tcPr>
            <w:tcW w:w="2020" w:type="dxa"/>
          </w:tcPr>
          <w:p w14:paraId="71985678" w14:textId="77777777" w:rsidR="00A86598" w:rsidRPr="007F5399" w:rsidRDefault="00A86598" w:rsidP="00A86598">
            <w:pPr>
              <w:pStyle w:val="NoSpacing"/>
            </w:pPr>
          </w:p>
        </w:tc>
      </w:tr>
      <w:tr w:rsidR="00A86598" w14:paraId="2A39720B" w14:textId="77777777" w:rsidTr="00A86598">
        <w:tc>
          <w:tcPr>
            <w:tcW w:w="2360" w:type="dxa"/>
          </w:tcPr>
          <w:p w14:paraId="5D6C9F73" w14:textId="77777777" w:rsidR="00A86598" w:rsidRPr="007F5399" w:rsidRDefault="00A86598" w:rsidP="00A86598">
            <w:pPr>
              <w:pStyle w:val="NoSpacing"/>
            </w:pPr>
            <w:r w:rsidRPr="007F5399">
              <w:t>NAP -Classification</w:t>
            </w:r>
          </w:p>
        </w:tc>
        <w:tc>
          <w:tcPr>
            <w:tcW w:w="1042" w:type="dxa"/>
          </w:tcPr>
          <w:p w14:paraId="2B2DDCD0" w14:textId="77777777" w:rsidR="00A86598" w:rsidRPr="007F5399" w:rsidRDefault="00A86598" w:rsidP="00A86598">
            <w:pPr>
              <w:pStyle w:val="NoSpacing"/>
              <w:jc w:val="center"/>
            </w:pPr>
            <w:r w:rsidRPr="007F5399">
              <w:t>?</w:t>
            </w:r>
          </w:p>
        </w:tc>
        <w:tc>
          <w:tcPr>
            <w:tcW w:w="2977" w:type="dxa"/>
          </w:tcPr>
          <w:p w14:paraId="197CEFD5" w14:textId="77777777" w:rsidR="00A86598" w:rsidRPr="007F5399" w:rsidRDefault="00A86598" w:rsidP="00A86598">
            <w:pPr>
              <w:pStyle w:val="NoSpacing"/>
            </w:pPr>
          </w:p>
        </w:tc>
        <w:tc>
          <w:tcPr>
            <w:tcW w:w="2020" w:type="dxa"/>
          </w:tcPr>
          <w:p w14:paraId="690970CE" w14:textId="77777777" w:rsidR="00A86598" w:rsidRPr="007F5399" w:rsidRDefault="00A86598" w:rsidP="00A86598">
            <w:pPr>
              <w:pStyle w:val="NoSpacing"/>
            </w:pPr>
          </w:p>
        </w:tc>
      </w:tr>
      <w:tr w:rsidR="00A86598" w14:paraId="66726840" w14:textId="77777777" w:rsidTr="00A86598">
        <w:tc>
          <w:tcPr>
            <w:tcW w:w="2360" w:type="dxa"/>
          </w:tcPr>
          <w:p w14:paraId="78D8D65A" w14:textId="77777777" w:rsidR="00A86598" w:rsidRPr="007F5399" w:rsidRDefault="00A86598" w:rsidP="00A86598">
            <w:pPr>
              <w:pStyle w:val="NoSpacing"/>
            </w:pPr>
            <w:r w:rsidRPr="007F5399">
              <w:t>NAP -Reclassification</w:t>
            </w:r>
          </w:p>
        </w:tc>
        <w:tc>
          <w:tcPr>
            <w:tcW w:w="1042" w:type="dxa"/>
          </w:tcPr>
          <w:p w14:paraId="31A42A0A" w14:textId="77777777" w:rsidR="00A86598" w:rsidRPr="007F5399" w:rsidRDefault="00A86598" w:rsidP="00A86598">
            <w:pPr>
              <w:pStyle w:val="NoSpacing"/>
              <w:jc w:val="center"/>
            </w:pPr>
            <w:r w:rsidRPr="007F5399">
              <w:t>?</w:t>
            </w:r>
          </w:p>
        </w:tc>
        <w:tc>
          <w:tcPr>
            <w:tcW w:w="2977" w:type="dxa"/>
          </w:tcPr>
          <w:p w14:paraId="01ED987B" w14:textId="77777777" w:rsidR="00A86598" w:rsidRPr="007F5399" w:rsidRDefault="00A86598" w:rsidP="00A86598">
            <w:pPr>
              <w:pStyle w:val="NoSpacing"/>
            </w:pPr>
          </w:p>
        </w:tc>
        <w:tc>
          <w:tcPr>
            <w:tcW w:w="2020" w:type="dxa"/>
          </w:tcPr>
          <w:p w14:paraId="12FF47CE" w14:textId="77777777" w:rsidR="00A86598" w:rsidRPr="007F5399" w:rsidRDefault="00A86598" w:rsidP="00A86598">
            <w:pPr>
              <w:pStyle w:val="NoSpacing"/>
            </w:pPr>
          </w:p>
        </w:tc>
      </w:tr>
    </w:tbl>
    <w:p w14:paraId="14B737B9" w14:textId="11369A5A" w:rsidR="001252F7" w:rsidRDefault="001252F7" w:rsidP="00A86598">
      <w:pPr>
        <w:pStyle w:val="NoSpacing"/>
        <w:rPr>
          <w:color w:val="FF0000"/>
        </w:rPr>
      </w:pPr>
    </w:p>
    <w:p w14:paraId="1BCC9068" w14:textId="77777777" w:rsidR="0056388E" w:rsidRDefault="0056388E" w:rsidP="0056388E">
      <w:pPr>
        <w:pStyle w:val="NoSpacing"/>
        <w:ind w:left="720"/>
        <w:rPr>
          <w:color w:val="FF0000"/>
        </w:rPr>
      </w:pPr>
    </w:p>
    <w:p w14:paraId="3A450A48" w14:textId="77777777" w:rsidR="001252F7" w:rsidRPr="007F5399" w:rsidRDefault="001252F7" w:rsidP="00484C3A">
      <w:pPr>
        <w:pStyle w:val="NoSpacing"/>
      </w:pPr>
    </w:p>
    <w:p w14:paraId="4D060A10" w14:textId="7C9938F9" w:rsidR="004A7AF8" w:rsidRPr="007F5399" w:rsidRDefault="004A1E52" w:rsidP="00343D24">
      <w:pPr>
        <w:pStyle w:val="NoSpacing"/>
        <w:numPr>
          <w:ilvl w:val="0"/>
          <w:numId w:val="9"/>
        </w:numPr>
      </w:pPr>
      <w:r>
        <w:t>Participants received</w:t>
      </w:r>
      <w:r w:rsidR="00343D24" w:rsidRPr="007F5399">
        <w:t xml:space="preserve"> an update on the UC Training of Trainers co</w:t>
      </w:r>
      <w:r w:rsidR="00D15025" w:rsidRPr="007F5399">
        <w:t xml:space="preserve">urse that was conducted in </w:t>
      </w:r>
      <w:r w:rsidR="005D482E">
        <w:t>New Zealand</w:t>
      </w:r>
      <w:r w:rsidR="005D482E" w:rsidRPr="007F5399">
        <w:t xml:space="preserve"> </w:t>
      </w:r>
      <w:r w:rsidR="00343D24" w:rsidRPr="007F5399">
        <w:t>in May 2019, with reference being ma</w:t>
      </w:r>
      <w:r w:rsidR="00A86598" w:rsidRPr="007F5399">
        <w:t>de to</w:t>
      </w:r>
      <w:r w:rsidR="00343D24" w:rsidRPr="007F5399">
        <w:t xml:space="preserve"> the revised timetable for the course. Key Outcomes were the revision of </w:t>
      </w:r>
      <w:r w:rsidR="00A86598" w:rsidRPr="007F5399">
        <w:t>contents</w:t>
      </w:r>
      <w:r w:rsidR="00944AC9">
        <w:t>,</w:t>
      </w:r>
      <w:r w:rsidR="00A86598" w:rsidRPr="007F5399">
        <w:t xml:space="preserve"> specifically in relation to the Data Collection Tool, and </w:t>
      </w:r>
      <w:r w:rsidR="00343D24" w:rsidRPr="007F5399">
        <w:t xml:space="preserve">the </w:t>
      </w:r>
      <w:r>
        <w:t xml:space="preserve">program agenda/course </w:t>
      </w:r>
      <w:r w:rsidR="00484C3A">
        <w:t xml:space="preserve">schedule </w:t>
      </w:r>
      <w:r w:rsidR="00484C3A" w:rsidRPr="007F5399">
        <w:t>of</w:t>
      </w:r>
      <w:r w:rsidR="00343D24" w:rsidRPr="007F5399">
        <w:t xml:space="preserve"> the course.</w:t>
      </w:r>
      <w:r w:rsidR="00A86598" w:rsidRPr="007F5399">
        <w:t xml:space="preserve"> </w:t>
      </w:r>
    </w:p>
    <w:p w14:paraId="4E5DE249" w14:textId="77777777" w:rsidR="005D482E" w:rsidRDefault="005D482E" w:rsidP="00343D24">
      <w:pPr>
        <w:pStyle w:val="NoSpacing"/>
        <w:ind w:left="720"/>
      </w:pPr>
    </w:p>
    <w:p w14:paraId="0CA78241" w14:textId="0B306B1C" w:rsidR="00343D24" w:rsidRPr="007F5399" w:rsidRDefault="004A1E52" w:rsidP="00343D24">
      <w:pPr>
        <w:pStyle w:val="NoSpacing"/>
        <w:ind w:left="720"/>
      </w:pPr>
      <w:r>
        <w:t>It was</w:t>
      </w:r>
      <w:r w:rsidRPr="007F5399">
        <w:t xml:space="preserve"> </w:t>
      </w:r>
      <w:r w:rsidR="007F5399" w:rsidRPr="007F5399">
        <w:t xml:space="preserve">reinforced </w:t>
      </w:r>
      <w:r w:rsidR="00343D24" w:rsidRPr="007F5399">
        <w:t xml:space="preserve">that there is still not an accurate </w:t>
      </w:r>
      <w:r>
        <w:t>accounting</w:t>
      </w:r>
      <w:r w:rsidRPr="007F5399">
        <w:t xml:space="preserve"> </w:t>
      </w:r>
      <w:r w:rsidR="00343D24" w:rsidRPr="007F5399">
        <w:t xml:space="preserve">of UC Trainers, </w:t>
      </w:r>
      <w:r>
        <w:t xml:space="preserve">which continues to create problems for regions and/or organizations planning to schedule a course. A direct example of this conflict/confusion resulted in the postponement of an INSARAG Steering Group (ISG) endorsed UC Training of Trainers (ToT) course in Russia for the AEME Region. </w:t>
      </w:r>
      <w:r w:rsidR="00343D24" w:rsidRPr="007F5399">
        <w:t xml:space="preserve"> </w:t>
      </w:r>
    </w:p>
    <w:p w14:paraId="6F70F8EB" w14:textId="77777777" w:rsidR="005D482E" w:rsidRDefault="005D482E" w:rsidP="00343D24">
      <w:pPr>
        <w:pStyle w:val="NoSpacing"/>
        <w:ind w:left="720"/>
      </w:pPr>
    </w:p>
    <w:p w14:paraId="13170A46" w14:textId="4FDF5F40" w:rsidR="00343D24" w:rsidRPr="007F5399" w:rsidRDefault="00A86598" w:rsidP="00343D24">
      <w:pPr>
        <w:pStyle w:val="NoSpacing"/>
        <w:ind w:left="720"/>
      </w:pPr>
      <w:r w:rsidRPr="007F5399">
        <w:lastRenderedPageBreak/>
        <w:t xml:space="preserve">The TWG </w:t>
      </w:r>
      <w:r w:rsidR="00343D24" w:rsidRPr="007F5399">
        <w:t>continue to be frustrated by</w:t>
      </w:r>
      <w:r w:rsidR="00327789" w:rsidRPr="007F5399">
        <w:t xml:space="preserve"> the fact that there does not appear to be an </w:t>
      </w:r>
      <w:r w:rsidR="00343D24" w:rsidRPr="007F5399">
        <w:t>accurate record of UC trained staff, or international trainers that can be utilised in the d</w:t>
      </w:r>
      <w:r w:rsidR="00821385" w:rsidRPr="007F5399">
        <w:t xml:space="preserve">elivery </w:t>
      </w:r>
      <w:r w:rsidR="00343D24" w:rsidRPr="007F5399">
        <w:t>of courses. T</w:t>
      </w:r>
      <w:r w:rsidR="004A1E52">
        <w:t>he TWG also notes that even after numerous inquiries to the INSARAG Secretariat, t</w:t>
      </w:r>
      <w:r w:rsidR="00343D24" w:rsidRPr="007F5399">
        <w:t xml:space="preserve">here is </w:t>
      </w:r>
      <w:r w:rsidR="004A1E52">
        <w:t>still</w:t>
      </w:r>
      <w:r w:rsidR="004A1E52" w:rsidRPr="007F5399">
        <w:t xml:space="preserve"> </w:t>
      </w:r>
      <w:r w:rsidR="00343D24" w:rsidRPr="007F5399">
        <w:t>no handover process for the course content or preparation for host</w:t>
      </w:r>
      <w:r w:rsidR="004A1E52">
        <w:t>’</w:t>
      </w:r>
      <w:r w:rsidR="00343D24" w:rsidRPr="007F5399">
        <w:t>s wishing to deliver the UC course</w:t>
      </w:r>
      <w:r w:rsidR="004A1E52">
        <w:t xml:space="preserve"> that ensures quality control</w:t>
      </w:r>
      <w:r w:rsidR="00343D24" w:rsidRPr="007F5399">
        <w:t>.</w:t>
      </w:r>
    </w:p>
    <w:p w14:paraId="11404A10" w14:textId="77777777" w:rsidR="005D482E" w:rsidRDefault="005D482E" w:rsidP="00343D24">
      <w:pPr>
        <w:pStyle w:val="NoSpacing"/>
        <w:ind w:left="720"/>
      </w:pPr>
    </w:p>
    <w:p w14:paraId="48D8BEEC" w14:textId="1A00919B" w:rsidR="00821385" w:rsidRPr="007F5399" w:rsidRDefault="00821385" w:rsidP="00343D24">
      <w:pPr>
        <w:pStyle w:val="NoSpacing"/>
        <w:ind w:left="720"/>
      </w:pPr>
      <w:r w:rsidRPr="007F5399">
        <w:t>Reference was made</w:t>
      </w:r>
      <w:r w:rsidR="00A86598" w:rsidRPr="007F5399">
        <w:t xml:space="preserve"> to Meeting Minutes from Berlin in December 2018,</w:t>
      </w:r>
      <w:r w:rsidRPr="007F5399">
        <w:t xml:space="preserve"> where </w:t>
      </w:r>
      <w:r w:rsidR="00B82C6A" w:rsidRPr="007F5399">
        <w:t>these</w:t>
      </w:r>
      <w:r w:rsidRPr="007F5399">
        <w:t xml:space="preserve"> points were raised during a telephone conference with Jesper</w:t>
      </w:r>
      <w:r w:rsidR="00E801F4">
        <w:t xml:space="preserve"> Lund</w:t>
      </w:r>
      <w:r w:rsidRPr="007F5399">
        <w:t xml:space="preserve"> and Winston</w:t>
      </w:r>
      <w:r w:rsidR="00E801F4">
        <w:t xml:space="preserve"> Chang</w:t>
      </w:r>
      <w:r w:rsidRPr="007F5399">
        <w:t>;</w:t>
      </w:r>
    </w:p>
    <w:p w14:paraId="2CCD5C1D" w14:textId="163A437E" w:rsidR="00821385" w:rsidRDefault="00821385" w:rsidP="00343D24">
      <w:pPr>
        <w:pStyle w:val="NoSpacing"/>
        <w:ind w:left="720"/>
        <w:rPr>
          <w:color w:val="FF0000"/>
        </w:rPr>
      </w:pPr>
      <w:r>
        <w:rPr>
          <w:noProof/>
        </w:rPr>
        <w:drawing>
          <wp:inline distT="0" distB="0" distL="0" distR="0" wp14:anchorId="0D39F072" wp14:editId="7CB3D933">
            <wp:extent cx="5167690" cy="2364565"/>
            <wp:effectExtent l="190500" t="190500" r="185420" b="1885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690" cy="2364565"/>
                    </a:xfrm>
                    <a:prstGeom prst="rect">
                      <a:avLst/>
                    </a:prstGeom>
                    <a:ln>
                      <a:noFill/>
                    </a:ln>
                    <a:effectLst>
                      <a:outerShdw blurRad="190500" algn="tl" rotWithShape="0">
                        <a:srgbClr val="000000">
                          <a:alpha val="70000"/>
                        </a:srgbClr>
                      </a:outerShdw>
                    </a:effectLst>
                  </pic:spPr>
                </pic:pic>
              </a:graphicData>
            </a:graphic>
          </wp:inline>
        </w:drawing>
      </w:r>
    </w:p>
    <w:p w14:paraId="543C0965" w14:textId="1A586369" w:rsidR="00821385" w:rsidRPr="00A86598" w:rsidRDefault="00E801F4" w:rsidP="00343D24">
      <w:pPr>
        <w:pStyle w:val="NoSpacing"/>
        <w:ind w:left="720"/>
      </w:pPr>
      <w:r>
        <w:t>The workshop’s Secretariat Representative</w:t>
      </w:r>
      <w:r w:rsidRPr="00A86598">
        <w:t xml:space="preserve"> </w:t>
      </w:r>
      <w:r w:rsidR="007B54C6" w:rsidRPr="00A86598">
        <w:t xml:space="preserve">offered to </w:t>
      </w:r>
      <w:r w:rsidR="00821385" w:rsidRPr="00A86598">
        <w:t>take the i</w:t>
      </w:r>
      <w:r w:rsidR="007F5399">
        <w:t xml:space="preserve">ssue back to </w:t>
      </w:r>
      <w:r w:rsidR="00821385" w:rsidRPr="00A86598">
        <w:t xml:space="preserve">the </w:t>
      </w:r>
      <w:r w:rsidR="00387EE8" w:rsidRPr="00A86598">
        <w:t>Secretariat</w:t>
      </w:r>
      <w:r w:rsidR="007F5399">
        <w:t xml:space="preserve">, and </w:t>
      </w:r>
      <w:r w:rsidR="00821385" w:rsidRPr="00A86598">
        <w:t>provide an update.</w:t>
      </w:r>
      <w:r>
        <w:t xml:space="preserve">  The TWG still awaits this update.</w:t>
      </w:r>
    </w:p>
    <w:p w14:paraId="276BDBA8" w14:textId="77777777" w:rsidR="00327789" w:rsidRDefault="00327789" w:rsidP="00343D24">
      <w:pPr>
        <w:pStyle w:val="NoSpacing"/>
        <w:ind w:left="720"/>
        <w:rPr>
          <w:color w:val="FF0000"/>
        </w:rPr>
      </w:pPr>
    </w:p>
    <w:p w14:paraId="14612CAA" w14:textId="10CC993F" w:rsidR="00236AE1" w:rsidRPr="00A86598" w:rsidRDefault="007F5399" w:rsidP="00343D24">
      <w:pPr>
        <w:pStyle w:val="NoSpacing"/>
        <w:ind w:left="720"/>
      </w:pPr>
      <w:r>
        <w:t>The</w:t>
      </w:r>
      <w:r w:rsidR="00236AE1" w:rsidRPr="00A86598">
        <w:t xml:space="preserve"> process </w:t>
      </w:r>
      <w:r w:rsidRPr="007F5399">
        <w:t xml:space="preserve">for </w:t>
      </w:r>
      <w:r w:rsidR="00E801F4">
        <w:t>maintenance and distribution</w:t>
      </w:r>
      <w:r w:rsidRPr="007F5399">
        <w:t xml:space="preserve"> </w:t>
      </w:r>
      <w:r w:rsidR="00E801F4">
        <w:t>of</w:t>
      </w:r>
      <w:r w:rsidR="00E801F4" w:rsidRPr="007F5399">
        <w:t xml:space="preserve"> </w:t>
      </w:r>
      <w:r w:rsidRPr="007F5399">
        <w:t xml:space="preserve">the </w:t>
      </w:r>
      <w:r>
        <w:t xml:space="preserve">UC </w:t>
      </w:r>
      <w:r w:rsidRPr="007F5399">
        <w:t xml:space="preserve">course </w:t>
      </w:r>
      <w:r w:rsidR="00E801F4">
        <w:t>training package</w:t>
      </w:r>
      <w:r w:rsidR="00E801F4" w:rsidRPr="007F5399">
        <w:t xml:space="preserve"> </w:t>
      </w:r>
      <w:r w:rsidR="00E801F4">
        <w:t>for those</w:t>
      </w:r>
      <w:r w:rsidR="00E801F4" w:rsidRPr="007F5399">
        <w:t xml:space="preserve"> </w:t>
      </w:r>
      <w:r w:rsidRPr="007F5399">
        <w:t xml:space="preserve">who require it </w:t>
      </w:r>
      <w:r w:rsidR="00236AE1" w:rsidRPr="00A86598">
        <w:t xml:space="preserve">needs </w:t>
      </w:r>
      <w:r>
        <w:t xml:space="preserve">clarification, </w:t>
      </w:r>
      <w:r w:rsidR="00236AE1" w:rsidRPr="00A86598">
        <w:t>as the course will naturally develop</w:t>
      </w:r>
      <w:r w:rsidR="00327789" w:rsidRPr="00A86598">
        <w:t xml:space="preserve"> and change with every delivery</w:t>
      </w:r>
      <w:r w:rsidR="0092548D">
        <w:t>. It</w:t>
      </w:r>
      <w:r w:rsidR="00327789" w:rsidRPr="00A86598">
        <w:t xml:space="preserve"> also needs to be secure, so that the entire UC course content</w:t>
      </w:r>
      <w:r w:rsidR="00A86598" w:rsidRPr="00A86598">
        <w:t>, including exam papers, and the course certificate,</w:t>
      </w:r>
      <w:r w:rsidR="00327789" w:rsidRPr="00A86598">
        <w:t xml:space="preserve"> is not </w:t>
      </w:r>
      <w:r w:rsidR="00A86598" w:rsidRPr="00A86598">
        <w:t xml:space="preserve">made </w:t>
      </w:r>
      <w:r w:rsidR="00327789" w:rsidRPr="00A86598">
        <w:t>publicly available on the INSARAG website</w:t>
      </w:r>
      <w:r w:rsidR="00A86598" w:rsidRPr="00A86598">
        <w:t xml:space="preserve">, as </w:t>
      </w:r>
      <w:r>
        <w:t xml:space="preserve">has </w:t>
      </w:r>
      <w:r w:rsidR="00A86598" w:rsidRPr="00A86598">
        <w:t>occurred previously</w:t>
      </w:r>
      <w:r w:rsidR="00E801F4">
        <w:t xml:space="preserve"> resulting in a quality control issue</w:t>
      </w:r>
      <w:r w:rsidR="00327789" w:rsidRPr="00A86598">
        <w:t>.</w:t>
      </w:r>
    </w:p>
    <w:p w14:paraId="00689E84" w14:textId="77777777" w:rsidR="0016497F" w:rsidRDefault="0016497F" w:rsidP="00343D24">
      <w:pPr>
        <w:pStyle w:val="NoSpacing"/>
        <w:ind w:left="720"/>
      </w:pPr>
    </w:p>
    <w:p w14:paraId="3595A08D" w14:textId="1705CE45" w:rsidR="00387EE8" w:rsidRDefault="00E801F4" w:rsidP="00343D24">
      <w:pPr>
        <w:pStyle w:val="NoSpacing"/>
        <w:ind w:left="720"/>
      </w:pPr>
      <w:r>
        <w:t xml:space="preserve">Discussion returned to the ISG endorsed AEME course that needed to be postponed.  </w:t>
      </w:r>
      <w:r w:rsidRPr="00A86598">
        <w:t xml:space="preserve"> </w:t>
      </w:r>
      <w:r>
        <w:t xml:space="preserve">It was noted that the ISG </w:t>
      </w:r>
      <w:r w:rsidR="00387EE8" w:rsidRPr="00A86598">
        <w:t xml:space="preserve">had requested two </w:t>
      </w:r>
      <w:r>
        <w:t xml:space="preserve">ToT </w:t>
      </w:r>
      <w:r w:rsidR="00387EE8" w:rsidRPr="00A86598">
        <w:t>course</w:t>
      </w:r>
      <w:r w:rsidR="00327789" w:rsidRPr="00A86598">
        <w:t>s</w:t>
      </w:r>
      <w:r w:rsidR="00387EE8" w:rsidRPr="00A86598">
        <w:t xml:space="preserve"> be held within </w:t>
      </w:r>
      <w:r>
        <w:t xml:space="preserve">the </w:t>
      </w:r>
      <w:r w:rsidR="00387EE8" w:rsidRPr="00A86598">
        <w:t>AEME region this year, and if this is no longer going to be possible, then notification needs to be given</w:t>
      </w:r>
      <w:r w:rsidR="00FF7A86" w:rsidRPr="00A86598">
        <w:t xml:space="preserve"> to </w:t>
      </w:r>
      <w:r>
        <w:t>ISG</w:t>
      </w:r>
      <w:r w:rsidR="00387EE8" w:rsidRPr="00A86598">
        <w:t>.</w:t>
      </w:r>
    </w:p>
    <w:p w14:paraId="25271802" w14:textId="4AC465EB" w:rsidR="0092548D" w:rsidRPr="0092548D" w:rsidRDefault="0092548D" w:rsidP="00343D24">
      <w:pPr>
        <w:pStyle w:val="NoSpacing"/>
        <w:ind w:left="720"/>
      </w:pPr>
      <w:r>
        <w:rPr>
          <w:i/>
          <w:iCs/>
        </w:rPr>
        <w:t>NOTE:</w:t>
      </w:r>
      <w:r>
        <w:t xml:space="preserve"> During the meeting, this issue was resolved. </w:t>
      </w:r>
      <w:r w:rsidR="00E801F4">
        <w:t>One</w:t>
      </w:r>
      <w:r>
        <w:t xml:space="preserve"> AEME UC course will be hosted by Russia. Details will be provided in the near future. </w:t>
      </w:r>
    </w:p>
    <w:p w14:paraId="644F12BC" w14:textId="77777777" w:rsidR="00327789" w:rsidRPr="00BB444F" w:rsidRDefault="00327789" w:rsidP="00343D24">
      <w:pPr>
        <w:pStyle w:val="NoSpacing"/>
        <w:ind w:left="720"/>
      </w:pPr>
    </w:p>
    <w:p w14:paraId="1C2B2916" w14:textId="012478C0" w:rsidR="0092548D" w:rsidRDefault="00AC2406" w:rsidP="00AC2406">
      <w:pPr>
        <w:pStyle w:val="NoSpacing"/>
        <w:numPr>
          <w:ilvl w:val="0"/>
          <w:numId w:val="9"/>
        </w:numPr>
      </w:pPr>
      <w:r w:rsidRPr="00BB444F">
        <w:t>The process for</w:t>
      </w:r>
      <w:r w:rsidR="00BB444F" w:rsidRPr="00BB444F">
        <w:t xml:space="preserve"> assigning Classifiers,</w:t>
      </w:r>
      <w:r w:rsidR="009D78E9" w:rsidRPr="00BB444F">
        <w:t xml:space="preserve"> ensuring that </w:t>
      </w:r>
      <w:r w:rsidR="00FF7A86" w:rsidRPr="00BB444F">
        <w:t>q</w:t>
      </w:r>
      <w:r w:rsidRPr="00BB444F">
        <w:t xml:space="preserve">uality is maintained. </w:t>
      </w:r>
      <w:r w:rsidR="0085406F">
        <w:t>Discussion pointed out numerous examples of problems with how the IEC and IER system is being staffed. The TWG has requested an audit of all rostered classifiers in the system, which has not been allowed by the Secretariat</w:t>
      </w:r>
      <w:r w:rsidR="00C92628">
        <w:t>. Documented instances of unqualified classifiers are increasing, which is calling the integrity of the Classification System into question. This is coupled by the Secretariat’s action of naming unsanctioned Observers as “classifiers in training”.</w:t>
      </w:r>
    </w:p>
    <w:p w14:paraId="5B51A2FC" w14:textId="3FE86AFB" w:rsidR="00FF7A86" w:rsidRPr="00BB444F" w:rsidRDefault="00977ECC" w:rsidP="00484C3A">
      <w:pPr>
        <w:pStyle w:val="NoSpacing"/>
        <w:ind w:left="720"/>
      </w:pPr>
      <w:r w:rsidRPr="00BB444F">
        <w:t>.</w:t>
      </w:r>
      <w:r w:rsidR="00AC2406" w:rsidRPr="00BB444F">
        <w:t xml:space="preserve"> </w:t>
      </w:r>
      <w:r w:rsidR="00944AC9">
        <w:t>This practise is not acceptable and should be discontinued as a priority.</w:t>
      </w:r>
    </w:p>
    <w:p w14:paraId="0481E67A" w14:textId="77777777" w:rsidR="00FF7A86" w:rsidRPr="00BB444F" w:rsidRDefault="00FF7A86" w:rsidP="00FF7A86">
      <w:pPr>
        <w:pStyle w:val="NoSpacing"/>
        <w:ind w:left="720"/>
      </w:pPr>
    </w:p>
    <w:p w14:paraId="5B971818" w14:textId="74740709" w:rsidR="00AC2406" w:rsidRPr="00BB444F" w:rsidRDefault="00C92628" w:rsidP="00FF7A86">
      <w:pPr>
        <w:pStyle w:val="NoSpacing"/>
        <w:ind w:left="720"/>
      </w:pPr>
      <w:r>
        <w:t>It was again</w:t>
      </w:r>
      <w:r w:rsidR="00BB444F" w:rsidRPr="00BB444F">
        <w:t xml:space="preserve"> </w:t>
      </w:r>
      <w:r w:rsidR="00AC2406" w:rsidRPr="00BB444F">
        <w:t xml:space="preserve">highlighted that there are </w:t>
      </w:r>
      <w:r w:rsidR="0092548D">
        <w:t xml:space="preserve">Terms of Reference </w:t>
      </w:r>
      <w:r w:rsidR="00AC2406" w:rsidRPr="00BB444F">
        <w:t>and criteria within the Guidelines for these roles,</w:t>
      </w:r>
      <w:r w:rsidR="007F5399">
        <w:t xml:space="preserve"> but frequently they are </w:t>
      </w:r>
      <w:r w:rsidR="00AC2406" w:rsidRPr="00BB444F">
        <w:t>not followed.</w:t>
      </w:r>
    </w:p>
    <w:p w14:paraId="7EBC9B27" w14:textId="4E1FC907" w:rsidR="0092548D" w:rsidRDefault="00C92628" w:rsidP="00BB444F">
      <w:pPr>
        <w:pStyle w:val="NoSpacing"/>
        <w:ind w:left="720"/>
      </w:pPr>
      <w:r>
        <w:t>It was also</w:t>
      </w:r>
      <w:r w:rsidRPr="00BB444F">
        <w:t xml:space="preserve"> </w:t>
      </w:r>
      <w:r w:rsidR="00977ECC" w:rsidRPr="00BB444F">
        <w:t xml:space="preserve">stated that last minute replacements for </w:t>
      </w:r>
      <w:r w:rsidR="00484C3A" w:rsidRPr="00BB444F">
        <w:t>Classifiers</w:t>
      </w:r>
      <w:r w:rsidR="00484C3A">
        <w:t xml:space="preserve">, </w:t>
      </w:r>
      <w:r w:rsidR="00484C3A" w:rsidRPr="00BB444F">
        <w:t>in</w:t>
      </w:r>
      <w:r>
        <w:t xml:space="preserve"> an</w:t>
      </w:r>
      <w:r w:rsidR="00977ECC" w:rsidRPr="00BB444F">
        <w:t xml:space="preserve"> area where </w:t>
      </w:r>
      <w:r>
        <w:t>these replacements</w:t>
      </w:r>
      <w:r w:rsidRPr="00BB444F">
        <w:t xml:space="preserve"> </w:t>
      </w:r>
      <w:r w:rsidR="00BB444F" w:rsidRPr="00BB444F">
        <w:t xml:space="preserve">do not have the appropriate knowledge and experience. </w:t>
      </w:r>
      <w:r>
        <w:t xml:space="preserve">This example was for </w:t>
      </w:r>
      <w:r>
        <w:lastRenderedPageBreak/>
        <w:t>a Search Classifier that was not a Search Team Manager for his home team and had zero experience working in the Search function.</w:t>
      </w:r>
    </w:p>
    <w:p w14:paraId="2303D3C6" w14:textId="77777777" w:rsidR="0092548D" w:rsidRDefault="0092548D" w:rsidP="00BB444F">
      <w:pPr>
        <w:pStyle w:val="NoSpacing"/>
        <w:ind w:left="720"/>
      </w:pPr>
    </w:p>
    <w:p w14:paraId="5B8E5B8C" w14:textId="474BF894" w:rsidR="007F5399" w:rsidRDefault="00CE56DD" w:rsidP="00BB444F">
      <w:pPr>
        <w:pStyle w:val="NoSpacing"/>
        <w:ind w:left="720"/>
      </w:pPr>
      <w:r>
        <w:t>Again,</w:t>
      </w:r>
      <w:r w:rsidR="00C92628">
        <w:t xml:space="preserve"> i</w:t>
      </w:r>
      <w:r w:rsidR="00977ECC" w:rsidRPr="00BB444F">
        <w:t>t was highlighted that the TWG has raised th</w:t>
      </w:r>
      <w:r w:rsidR="00C92628">
        <w:t>is critical quality control</w:t>
      </w:r>
      <w:r w:rsidR="00977ECC" w:rsidRPr="00BB444F">
        <w:t xml:space="preserve"> issue previously with regards to the requirements and experience of the Classification team</w:t>
      </w:r>
      <w:r w:rsidR="00C92628">
        <w:t>, which has been ignored by the Secretariat</w:t>
      </w:r>
      <w:r w:rsidR="00977ECC" w:rsidRPr="00BB444F">
        <w:t xml:space="preserve">. </w:t>
      </w:r>
      <w:r w:rsidR="00944AC9">
        <w:t>It was</w:t>
      </w:r>
      <w:r w:rsidR="00944AC9" w:rsidRPr="00BB444F">
        <w:t xml:space="preserve"> </w:t>
      </w:r>
      <w:r w:rsidR="00977ECC" w:rsidRPr="00BB444F">
        <w:t xml:space="preserve">reiterated that the ‘Process’ is well established, and is of a very high quality, the issues arise from the lack of enforcement </w:t>
      </w:r>
      <w:r w:rsidR="00C92628">
        <w:t xml:space="preserve">by the Secretariat </w:t>
      </w:r>
      <w:r w:rsidR="00977ECC" w:rsidRPr="00BB444F">
        <w:t>relating to the process, which is not being followed.</w:t>
      </w:r>
    </w:p>
    <w:p w14:paraId="059884F6" w14:textId="77777777" w:rsidR="0092548D" w:rsidRDefault="0092548D" w:rsidP="00BB444F">
      <w:pPr>
        <w:pStyle w:val="NoSpacing"/>
        <w:ind w:left="720"/>
      </w:pPr>
    </w:p>
    <w:p w14:paraId="4985B171" w14:textId="05B3B789" w:rsidR="008E636B" w:rsidRPr="00BB444F" w:rsidRDefault="0092548D" w:rsidP="00BB444F">
      <w:pPr>
        <w:pStyle w:val="NoSpacing"/>
        <w:ind w:left="720"/>
      </w:pPr>
      <w:r>
        <w:t xml:space="preserve">Open Issue: </w:t>
      </w:r>
      <w:r w:rsidR="008E636B" w:rsidRPr="00BB444F">
        <w:t>Feedback is required from</w:t>
      </w:r>
      <w:r w:rsidR="00BB444F" w:rsidRPr="00BB444F">
        <w:t xml:space="preserve"> Team Leaders </w:t>
      </w:r>
      <w:r w:rsidR="007F5399" w:rsidRPr="00BB444F">
        <w:t>regarding</w:t>
      </w:r>
      <w:r w:rsidR="007F5399">
        <w:t xml:space="preserve"> Classification Team members to highlight areas which may require further training or development.</w:t>
      </w:r>
    </w:p>
    <w:p w14:paraId="134B4BF7" w14:textId="77777777" w:rsidR="00BB444F" w:rsidRPr="00BB444F" w:rsidRDefault="00BB444F" w:rsidP="00BB444F">
      <w:pPr>
        <w:pStyle w:val="NoSpacing"/>
        <w:ind w:left="720"/>
      </w:pPr>
    </w:p>
    <w:p w14:paraId="18148A0F" w14:textId="6A4EB8D6" w:rsidR="0092548D" w:rsidRDefault="00C83802" w:rsidP="00977ECC">
      <w:pPr>
        <w:pStyle w:val="NoSpacing"/>
        <w:ind w:left="720"/>
      </w:pPr>
      <w:r w:rsidRPr="00BB444F">
        <w:t>The INSARAG Secretariat rep</w:t>
      </w:r>
      <w:r w:rsidR="007F5399">
        <w:t xml:space="preserve">resentative position within </w:t>
      </w:r>
      <w:r w:rsidRPr="00BB444F">
        <w:t>Classification</w:t>
      </w:r>
      <w:r w:rsidR="007F5399">
        <w:t>s</w:t>
      </w:r>
      <w:r w:rsidRPr="00BB444F">
        <w:t xml:space="preserve">, has been delegated </w:t>
      </w:r>
      <w:r w:rsidR="007F5399">
        <w:t xml:space="preserve">to Regional Chairs </w:t>
      </w:r>
      <w:r w:rsidR="00B82C6A">
        <w:t xml:space="preserve">previously. </w:t>
      </w:r>
      <w:r w:rsidR="00B82C6A" w:rsidRPr="00BB444F">
        <w:t>This</w:t>
      </w:r>
      <w:r w:rsidRPr="00BB444F">
        <w:t xml:space="preserve"> is not recommended as </w:t>
      </w:r>
      <w:r w:rsidR="00944AC9">
        <w:t>this role</w:t>
      </w:r>
      <w:r w:rsidR="00944AC9" w:rsidRPr="00BB444F">
        <w:t xml:space="preserve"> </w:t>
      </w:r>
      <w:r w:rsidRPr="00BB444F">
        <w:t xml:space="preserve">is critical to the </w:t>
      </w:r>
      <w:r w:rsidR="007E1FB9">
        <w:t>classification</w:t>
      </w:r>
      <w:r w:rsidRPr="00BB444F">
        <w:t xml:space="preserve"> process, particularly when the Classification Team themselves has not been quality assured, or does not meet the documented standards.</w:t>
      </w:r>
      <w:r w:rsidR="007E1FB9">
        <w:t xml:space="preserve"> </w:t>
      </w:r>
    </w:p>
    <w:p w14:paraId="3141861D" w14:textId="77777777" w:rsidR="0092548D" w:rsidRDefault="0092548D" w:rsidP="00977ECC">
      <w:pPr>
        <w:pStyle w:val="NoSpacing"/>
        <w:ind w:left="720"/>
      </w:pPr>
    </w:p>
    <w:p w14:paraId="70754CE3" w14:textId="00B55AE1" w:rsidR="00C83802" w:rsidRPr="00BB444F" w:rsidRDefault="0092548D" w:rsidP="00977ECC">
      <w:pPr>
        <w:pStyle w:val="NoSpacing"/>
        <w:ind w:left="720"/>
      </w:pPr>
      <w:r>
        <w:t xml:space="preserve">In most instances, </w:t>
      </w:r>
      <w:r w:rsidR="007E1FB9">
        <w:t xml:space="preserve">Regional Chairs are a </w:t>
      </w:r>
      <w:r>
        <w:t xml:space="preserve">temporary </w:t>
      </w:r>
      <w:r w:rsidR="007E1FB9">
        <w:t xml:space="preserve">appointment, </w:t>
      </w:r>
      <w:r w:rsidR="001B470A">
        <w:t xml:space="preserve">are </w:t>
      </w:r>
      <w:r w:rsidR="007E1FB9">
        <w:t>not an operational</w:t>
      </w:r>
      <w:r w:rsidR="001B470A">
        <w:t xml:space="preserve"> USAR provider</w:t>
      </w:r>
      <w:r w:rsidR="007E1FB9">
        <w:t>, and therefore do not have the required qualifications or experience (USAR and INSARAG) to mediate discussions, if required.</w:t>
      </w:r>
    </w:p>
    <w:p w14:paraId="7ED991AC" w14:textId="19822AD0" w:rsidR="00C0470E" w:rsidRPr="00BB444F" w:rsidRDefault="00C0470E" w:rsidP="00977ECC">
      <w:pPr>
        <w:pStyle w:val="NoSpacing"/>
        <w:ind w:left="720"/>
      </w:pPr>
    </w:p>
    <w:p w14:paraId="27F59817" w14:textId="646B8F28" w:rsidR="001B470A" w:rsidRDefault="00BB444F" w:rsidP="00977ECC">
      <w:pPr>
        <w:pStyle w:val="NoSpacing"/>
        <w:ind w:left="720"/>
      </w:pPr>
      <w:r w:rsidRPr="00BB444F">
        <w:t xml:space="preserve">TWG </w:t>
      </w:r>
      <w:r w:rsidR="007E1FB9">
        <w:t>recommends</w:t>
      </w:r>
      <w:r w:rsidR="007E1FB9" w:rsidRPr="00BB444F">
        <w:t xml:space="preserve"> </w:t>
      </w:r>
      <w:r w:rsidR="007B0D3D" w:rsidRPr="00BB444F">
        <w:t xml:space="preserve">that </w:t>
      </w:r>
      <w:r w:rsidR="007E1FB9">
        <w:t xml:space="preserve">the Classifier </w:t>
      </w:r>
      <w:r w:rsidR="007B0D3D" w:rsidRPr="00BB444F">
        <w:t xml:space="preserve">Team Leaders </w:t>
      </w:r>
      <w:r w:rsidRPr="00BB444F">
        <w:t xml:space="preserve">/ </w:t>
      </w:r>
      <w:r w:rsidR="007B0D3D" w:rsidRPr="00BB444F">
        <w:t xml:space="preserve">Mentors </w:t>
      </w:r>
      <w:r w:rsidR="007E1FB9">
        <w:t>Refresher is re-instituted. The Refresher would be held one day immediately prior to the USAR</w:t>
      </w:r>
      <w:r w:rsidR="007B0D3D" w:rsidRPr="00BB444F">
        <w:t xml:space="preserve"> T</w:t>
      </w:r>
      <w:r w:rsidRPr="00BB444F">
        <w:t xml:space="preserve">eam </w:t>
      </w:r>
      <w:r w:rsidR="007B0D3D" w:rsidRPr="00BB444F">
        <w:t>L</w:t>
      </w:r>
      <w:r w:rsidRPr="00BB444F">
        <w:t>eader</w:t>
      </w:r>
      <w:r w:rsidR="007B0D3D" w:rsidRPr="00BB444F">
        <w:t xml:space="preserve"> meeting </w:t>
      </w:r>
      <w:r w:rsidR="00B82C6A" w:rsidRPr="00BB444F">
        <w:t>to</w:t>
      </w:r>
      <w:r w:rsidR="007B0D3D" w:rsidRPr="00BB444F">
        <w:t xml:space="preserve"> receive updates from previous Classifications, </w:t>
      </w:r>
      <w:r w:rsidR="007E1FB9">
        <w:t xml:space="preserve">latest developments </w:t>
      </w:r>
      <w:r w:rsidR="007B0D3D" w:rsidRPr="00BB444F">
        <w:t>and requi</w:t>
      </w:r>
      <w:r w:rsidR="007F5399">
        <w:t xml:space="preserve">rements for the upcoming year. </w:t>
      </w:r>
    </w:p>
    <w:p w14:paraId="7005E56E" w14:textId="77777777" w:rsidR="001B470A" w:rsidRDefault="001B470A" w:rsidP="00977ECC">
      <w:pPr>
        <w:pStyle w:val="NoSpacing"/>
        <w:ind w:left="720"/>
      </w:pPr>
    </w:p>
    <w:p w14:paraId="31B130B3" w14:textId="253C2645" w:rsidR="007B0D3D" w:rsidRPr="00BB444F" w:rsidRDefault="007E1FB9" w:rsidP="00977ECC">
      <w:pPr>
        <w:pStyle w:val="NoSpacing"/>
        <w:ind w:left="720"/>
      </w:pPr>
      <w:r>
        <w:t>It is acknowledged that this will not be possible in 20-19 as the meeting schedule has already been established, however it should commence in 2020 and become a standing arrangement</w:t>
      </w:r>
      <w:r w:rsidR="00BB444F" w:rsidRPr="00BB444F">
        <w:t>.</w:t>
      </w:r>
    </w:p>
    <w:p w14:paraId="1EA2FC93" w14:textId="77777777" w:rsidR="00F25D67" w:rsidRPr="00BB444F" w:rsidRDefault="00F25D67" w:rsidP="00977ECC">
      <w:pPr>
        <w:pStyle w:val="NoSpacing"/>
        <w:ind w:left="720"/>
      </w:pPr>
    </w:p>
    <w:p w14:paraId="75109376" w14:textId="19E01D1C" w:rsidR="00F25D67" w:rsidRPr="00BB444F" w:rsidRDefault="00F25D67" w:rsidP="00F25D67">
      <w:pPr>
        <w:pStyle w:val="NoSpacing"/>
        <w:numPr>
          <w:ilvl w:val="0"/>
          <w:numId w:val="9"/>
        </w:numPr>
      </w:pPr>
      <w:r w:rsidRPr="00BB444F">
        <w:t xml:space="preserve">Discussion around delivery dates for the Team Leader / Mentor course. Delivery of </w:t>
      </w:r>
      <w:r w:rsidR="004C75A1" w:rsidRPr="00BB444F">
        <w:t>the course in February</w:t>
      </w:r>
      <w:r w:rsidRPr="00BB444F">
        <w:t xml:space="preserve"> </w:t>
      </w:r>
      <w:r w:rsidR="004C75A1" w:rsidRPr="00BB444F">
        <w:t>allow</w:t>
      </w:r>
      <w:r w:rsidR="00DC74B7">
        <w:t>s the</w:t>
      </w:r>
      <w:r w:rsidR="004C75A1" w:rsidRPr="00BB444F">
        <w:t xml:space="preserve"> revised Guidelines documents to be referenced, as </w:t>
      </w:r>
      <w:r w:rsidR="00DC3075">
        <w:t xml:space="preserve">they will be </w:t>
      </w:r>
      <w:r w:rsidR="00DC74B7">
        <w:t xml:space="preserve">endorsed (hopefully) </w:t>
      </w:r>
      <w:r w:rsidR="00DC3075">
        <w:t>at INSAR</w:t>
      </w:r>
      <w:r w:rsidR="004C75A1" w:rsidRPr="00BB444F">
        <w:t>AG Steering Group in Febru</w:t>
      </w:r>
      <w:r w:rsidR="00BB444F">
        <w:t xml:space="preserve">ary. This was </w:t>
      </w:r>
      <w:r w:rsidR="004C75A1" w:rsidRPr="00BB444F">
        <w:t>agreed by TWG</w:t>
      </w:r>
      <w:r w:rsidR="00BB444F">
        <w:t>, and the course hosts in Oman</w:t>
      </w:r>
      <w:r w:rsidR="004C75A1" w:rsidRPr="00BB444F">
        <w:t>.</w:t>
      </w:r>
    </w:p>
    <w:p w14:paraId="3210500C" w14:textId="562503A5" w:rsidR="00535692" w:rsidRPr="0096124B" w:rsidRDefault="00D60F59" w:rsidP="00535692">
      <w:pPr>
        <w:pStyle w:val="NoSpacing"/>
      </w:pPr>
      <w:r w:rsidRPr="0096124B">
        <w:t>Day Two – 21</w:t>
      </w:r>
      <w:r w:rsidRPr="0096124B">
        <w:rPr>
          <w:vertAlign w:val="superscript"/>
        </w:rPr>
        <w:t>st</w:t>
      </w:r>
      <w:r w:rsidRPr="0096124B">
        <w:t xml:space="preserve"> June</w:t>
      </w:r>
    </w:p>
    <w:p w14:paraId="6509A2D6" w14:textId="77777777" w:rsidR="006E63AA" w:rsidRPr="0096124B" w:rsidRDefault="006E63AA" w:rsidP="00535692">
      <w:pPr>
        <w:pStyle w:val="NoSpacing"/>
      </w:pPr>
    </w:p>
    <w:p w14:paraId="196322D0" w14:textId="2671AF4D" w:rsidR="00B60A54" w:rsidRPr="0096124B" w:rsidRDefault="00BB444F" w:rsidP="00D60F59">
      <w:pPr>
        <w:pStyle w:val="NoSpacing"/>
        <w:numPr>
          <w:ilvl w:val="0"/>
          <w:numId w:val="9"/>
        </w:numPr>
      </w:pPr>
      <w:r w:rsidRPr="0096124B">
        <w:t>The day c</w:t>
      </w:r>
      <w:r w:rsidR="0096488B" w:rsidRPr="0096124B">
        <w:t>ommenced with a s</w:t>
      </w:r>
      <w:r w:rsidR="00B60A54" w:rsidRPr="0096124B">
        <w:t xml:space="preserve">ite </w:t>
      </w:r>
      <w:r w:rsidR="001E46D0" w:rsidRPr="0096124B">
        <w:t>visit to the training ground, and a review of the facilities in preparation of the revised course delivery</w:t>
      </w:r>
      <w:r w:rsidR="00B60A54" w:rsidRPr="0096124B">
        <w:t>.</w:t>
      </w:r>
      <w:r w:rsidR="0060751C">
        <w:t xml:space="preserve">  </w:t>
      </w:r>
      <w:r w:rsidR="00CB02F4">
        <w:t>The group determined that the Omani training site is more than adequate for training its USAR team, and will meet the needs for the TLM Course.</w:t>
      </w:r>
    </w:p>
    <w:p w14:paraId="397DA170" w14:textId="6C857F2B" w:rsidR="009279FB" w:rsidRPr="0096124B" w:rsidRDefault="00CB02F4">
      <w:pPr>
        <w:pStyle w:val="NoSpacing"/>
        <w:ind w:left="720"/>
      </w:pPr>
      <w:r>
        <w:t>When back in plenary, Jacob</w:t>
      </w:r>
      <w:r w:rsidR="00D60F59" w:rsidRPr="0096124B">
        <w:t xml:space="preserve"> </w:t>
      </w:r>
      <w:r>
        <w:t>provided</w:t>
      </w:r>
      <w:r w:rsidRPr="0096124B">
        <w:t xml:space="preserve"> </w:t>
      </w:r>
      <w:r w:rsidR="00D60F59" w:rsidRPr="0096124B">
        <w:t xml:space="preserve">an overview of the Team Leaders / Mentors training </w:t>
      </w:r>
      <w:r w:rsidR="0096488B" w:rsidRPr="0096124B">
        <w:t>course</w:t>
      </w:r>
      <w:r>
        <w:t>s</w:t>
      </w:r>
      <w:r w:rsidR="0096488B" w:rsidRPr="0096124B">
        <w:t xml:space="preserve"> </w:t>
      </w:r>
      <w:r w:rsidR="00D60F59" w:rsidRPr="0096124B">
        <w:t>carried out in 2012 and 2014</w:t>
      </w:r>
      <w:r w:rsidR="006E63AA" w:rsidRPr="0096124B">
        <w:t xml:space="preserve">. The attendance of the Secretariat during the course was highlighted as significant, to ensure </w:t>
      </w:r>
      <w:r>
        <w:t>that its</w:t>
      </w:r>
      <w:r w:rsidR="006E63AA" w:rsidRPr="0096124B">
        <w:t xml:space="preserve"> expectations during Classifications</w:t>
      </w:r>
      <w:r>
        <w:t xml:space="preserve"> are reinforced with prospective TLs and Mentors</w:t>
      </w:r>
      <w:r w:rsidR="006E63AA" w:rsidRPr="0096124B">
        <w:t>.</w:t>
      </w:r>
    </w:p>
    <w:p w14:paraId="61F8337C" w14:textId="77777777" w:rsidR="009279FB" w:rsidRPr="0096124B" w:rsidRDefault="009279FB" w:rsidP="00535692">
      <w:pPr>
        <w:pStyle w:val="NoSpacing"/>
      </w:pPr>
    </w:p>
    <w:p w14:paraId="75EE083F" w14:textId="78B169B4" w:rsidR="00535692" w:rsidRPr="0096124B" w:rsidRDefault="000274C1" w:rsidP="000274C1">
      <w:pPr>
        <w:pStyle w:val="NoSpacing"/>
        <w:numPr>
          <w:ilvl w:val="0"/>
          <w:numId w:val="9"/>
        </w:numPr>
      </w:pPr>
      <w:r w:rsidRPr="0096124B">
        <w:t xml:space="preserve">Discussions regarding the planning and preparations for Classifications highlighted some areas for further </w:t>
      </w:r>
      <w:r w:rsidR="000D24A8" w:rsidRPr="0096124B">
        <w:t>development,</w:t>
      </w:r>
      <w:r w:rsidRPr="0096124B">
        <w:t xml:space="preserve"> including the establishment of a strong </w:t>
      </w:r>
      <w:r w:rsidR="00CB02F4">
        <w:t xml:space="preserve">internal </w:t>
      </w:r>
      <w:r w:rsidRPr="0096124B">
        <w:t>Exer</w:t>
      </w:r>
      <w:r w:rsidR="000D24A8" w:rsidRPr="0096124B">
        <w:t xml:space="preserve">cise Planning </w:t>
      </w:r>
      <w:r w:rsidRPr="0096124B">
        <w:t xml:space="preserve">team </w:t>
      </w:r>
      <w:r w:rsidR="00CB02F4">
        <w:t xml:space="preserve">for the activity. This </w:t>
      </w:r>
      <w:r w:rsidR="00CE56DD">
        <w:t xml:space="preserve">will </w:t>
      </w:r>
      <w:r w:rsidR="00CE56DD" w:rsidRPr="0096124B">
        <w:t>allow</w:t>
      </w:r>
      <w:r w:rsidR="000D24A8" w:rsidRPr="0096124B">
        <w:t xml:space="preserve"> the participating team to set the direction of the exercise based on their decision making, rather than a </w:t>
      </w:r>
      <w:r w:rsidR="007E1FB9">
        <w:t xml:space="preserve">strict </w:t>
      </w:r>
      <w:r w:rsidR="000D24A8" w:rsidRPr="0096124B">
        <w:t xml:space="preserve">timeline where every event is </w:t>
      </w:r>
      <w:r w:rsidR="007E1FB9">
        <w:t xml:space="preserve">carefully </w:t>
      </w:r>
      <w:r w:rsidR="000D24A8" w:rsidRPr="0096124B">
        <w:t>scripted</w:t>
      </w:r>
      <w:r w:rsidR="007E1FB9">
        <w:t xml:space="preserve"> and sequenced</w:t>
      </w:r>
      <w:r w:rsidR="000D24A8" w:rsidRPr="0096124B">
        <w:t xml:space="preserve">, </w:t>
      </w:r>
      <w:r w:rsidR="007E1FB9">
        <w:t xml:space="preserve">thereby </w:t>
      </w:r>
      <w:r w:rsidR="00CB02F4">
        <w:t>hinders</w:t>
      </w:r>
      <w:r w:rsidR="0060751C">
        <w:t xml:space="preserve"> </w:t>
      </w:r>
      <w:r w:rsidR="007E1FB9">
        <w:t>the team from demonstrating its operational and tactical planning and decision-making</w:t>
      </w:r>
      <w:r w:rsidR="00CB02F4">
        <w:t xml:space="preserve">. </w:t>
      </w:r>
      <w:r w:rsidR="007E1FB9">
        <w:t xml:space="preserve"> </w:t>
      </w:r>
    </w:p>
    <w:p w14:paraId="3D3EAE5B" w14:textId="77777777" w:rsidR="001E46D0" w:rsidRPr="0096124B" w:rsidRDefault="001E46D0" w:rsidP="001E46D0">
      <w:pPr>
        <w:pStyle w:val="NoSpacing"/>
        <w:ind w:left="720"/>
      </w:pPr>
    </w:p>
    <w:p w14:paraId="43DACF4C" w14:textId="680F2CC1" w:rsidR="00AC6D4C" w:rsidRPr="0096124B" w:rsidRDefault="0096488B" w:rsidP="00AC6D4C">
      <w:pPr>
        <w:pStyle w:val="NoSpacing"/>
        <w:ind w:left="720"/>
      </w:pPr>
      <w:r w:rsidRPr="0096124B">
        <w:t>E</w:t>
      </w:r>
      <w:r w:rsidR="00AC6D4C" w:rsidRPr="0096124B">
        <w:t xml:space="preserve">xercises such as </w:t>
      </w:r>
      <w:r w:rsidR="00CB02F4">
        <w:t xml:space="preserve">the EU </w:t>
      </w:r>
      <w:r w:rsidR="00AC6D4C" w:rsidRPr="0096124B">
        <w:t xml:space="preserve">Modex, </w:t>
      </w:r>
      <w:r w:rsidR="00E80B8C" w:rsidRPr="0096124B">
        <w:t xml:space="preserve">or where bilateral arrangements are in place, </w:t>
      </w:r>
      <w:r w:rsidR="00CB02F4">
        <w:t>which includes actions where</w:t>
      </w:r>
      <w:r w:rsidRPr="0096124B">
        <w:t xml:space="preserve"> a scenario </w:t>
      </w:r>
      <w:r w:rsidR="00CB02F4">
        <w:t xml:space="preserve">is </w:t>
      </w:r>
      <w:r w:rsidR="00AC6D4C" w:rsidRPr="0096124B">
        <w:t xml:space="preserve">prepared for </w:t>
      </w:r>
      <w:r w:rsidR="00E80B8C" w:rsidRPr="0096124B">
        <w:t xml:space="preserve">attending teams by an outside organisation, </w:t>
      </w:r>
      <w:r w:rsidR="00BB444F" w:rsidRPr="0096124B">
        <w:t>do</w:t>
      </w:r>
      <w:r w:rsidRPr="0096124B">
        <w:t xml:space="preserve"> not absolve the </w:t>
      </w:r>
      <w:r w:rsidR="00AC6D4C" w:rsidRPr="0096124B">
        <w:t xml:space="preserve">attending team of their </w:t>
      </w:r>
      <w:r w:rsidR="00E80B8C" w:rsidRPr="0096124B">
        <w:t>requirements in</w:t>
      </w:r>
      <w:r w:rsidR="00AC6D4C" w:rsidRPr="0096124B">
        <w:t xml:space="preserve"> preparing for a Classification </w:t>
      </w:r>
      <w:r w:rsidR="00E80B8C" w:rsidRPr="0096124B">
        <w:t>exercise as documented within the Guidelines.</w:t>
      </w:r>
      <w:r w:rsidR="007E1FB9">
        <w:t xml:space="preserve"> In all cases, the USAR Team being classified is </w:t>
      </w:r>
      <w:r w:rsidR="00CB02F4">
        <w:t>required</w:t>
      </w:r>
      <w:r w:rsidR="007E1FB9">
        <w:t xml:space="preserve"> to ensure it has its own EXCON involved in the design, planning and running of the exercise. The responsibility of the IEC/R remains with the team </w:t>
      </w:r>
      <w:r w:rsidR="001B1CA6">
        <w:t>being classified;</w:t>
      </w:r>
      <w:r w:rsidR="007E1FB9">
        <w:t xml:space="preserve"> it cannot be outsourced.</w:t>
      </w:r>
    </w:p>
    <w:p w14:paraId="23D06BE2" w14:textId="068C82E0" w:rsidR="00406D93" w:rsidRPr="0096124B" w:rsidRDefault="00406D93" w:rsidP="00AC6D4C">
      <w:pPr>
        <w:pStyle w:val="NoSpacing"/>
        <w:ind w:left="720"/>
      </w:pPr>
    </w:p>
    <w:p w14:paraId="57859195" w14:textId="06B21576" w:rsidR="00406D93" w:rsidRPr="0096124B" w:rsidRDefault="006102C4" w:rsidP="006818A4">
      <w:pPr>
        <w:pStyle w:val="NoSpacing"/>
        <w:numPr>
          <w:ilvl w:val="0"/>
          <w:numId w:val="9"/>
        </w:numPr>
      </w:pPr>
      <w:r w:rsidRPr="0096124B">
        <w:t xml:space="preserve">Revisions </w:t>
      </w:r>
      <w:r w:rsidR="00406D93" w:rsidRPr="0096124B">
        <w:t xml:space="preserve">and updates were made to the </w:t>
      </w:r>
      <w:bookmarkStart w:id="0" w:name="_Hlk12368296"/>
      <w:r w:rsidR="00406D93" w:rsidRPr="0096124B">
        <w:t xml:space="preserve">Team Leaders, Mentors and Secretariat </w:t>
      </w:r>
      <w:r w:rsidR="001B1CA6">
        <w:t>R</w:t>
      </w:r>
      <w:r w:rsidR="00406D93" w:rsidRPr="0096124B">
        <w:t>epresentative</w:t>
      </w:r>
      <w:bookmarkEnd w:id="0"/>
      <w:r w:rsidR="00406D93" w:rsidRPr="0096124B">
        <w:t xml:space="preserve"> </w:t>
      </w:r>
      <w:r w:rsidR="008E2199">
        <w:t>Terms of Reference.</w:t>
      </w:r>
    </w:p>
    <w:p w14:paraId="69244022" w14:textId="12FDE5E1" w:rsidR="00CE2A2E" w:rsidRPr="0096124B" w:rsidRDefault="00CE2A2E" w:rsidP="00535692">
      <w:pPr>
        <w:pStyle w:val="NoSpacing"/>
      </w:pPr>
    </w:p>
    <w:p w14:paraId="3168A2BC" w14:textId="5754FFF5" w:rsidR="00CE2A2E" w:rsidRPr="0096124B" w:rsidRDefault="00CE2A2E" w:rsidP="00535692">
      <w:pPr>
        <w:pStyle w:val="NoSpacing"/>
      </w:pPr>
      <w:r w:rsidRPr="0096124B">
        <w:t>Day Three – 22</w:t>
      </w:r>
      <w:r w:rsidRPr="0096124B">
        <w:rPr>
          <w:vertAlign w:val="superscript"/>
        </w:rPr>
        <w:t>nd</w:t>
      </w:r>
      <w:r w:rsidRPr="0096124B">
        <w:t xml:space="preserve"> June</w:t>
      </w:r>
    </w:p>
    <w:p w14:paraId="72EC4FB7" w14:textId="795BC5C6" w:rsidR="00CE2A2E" w:rsidRPr="0096124B" w:rsidRDefault="00CE2A2E" w:rsidP="00535692">
      <w:pPr>
        <w:pStyle w:val="NoSpacing"/>
      </w:pPr>
    </w:p>
    <w:p w14:paraId="50BF33C4" w14:textId="64510E63" w:rsidR="00CE2A2E" w:rsidRDefault="003B34D6" w:rsidP="00BB444F">
      <w:pPr>
        <w:pStyle w:val="NoSpacing"/>
        <w:numPr>
          <w:ilvl w:val="0"/>
          <w:numId w:val="9"/>
        </w:numPr>
      </w:pPr>
      <w:r w:rsidRPr="0096124B">
        <w:t xml:space="preserve">Initial discussion regarding the number of </w:t>
      </w:r>
      <w:r w:rsidR="00BB444F" w:rsidRPr="0096124B">
        <w:t xml:space="preserve">Team Leaders, Mentors and Secretariat </w:t>
      </w:r>
      <w:r w:rsidR="001B1CA6">
        <w:t>R</w:t>
      </w:r>
      <w:r w:rsidR="00BB444F" w:rsidRPr="0096124B">
        <w:t xml:space="preserve">epresentative </w:t>
      </w:r>
      <w:r w:rsidRPr="0096124B">
        <w:t>course</w:t>
      </w:r>
      <w:r w:rsidR="006102C4" w:rsidRPr="0096124B">
        <w:t>s</w:t>
      </w:r>
      <w:r w:rsidR="0096488B" w:rsidRPr="0096124B">
        <w:t xml:space="preserve"> that will be required</w:t>
      </w:r>
      <w:r w:rsidR="001B1CA6">
        <w:t xml:space="preserve"> for 2020</w:t>
      </w:r>
      <w:r w:rsidR="008E2199">
        <w:t xml:space="preserve"> was started.  The TWG determined by snap analysis of information received from the Secretariat that</w:t>
      </w:r>
      <w:r w:rsidRPr="0096124B">
        <w:t xml:space="preserve"> </w:t>
      </w:r>
      <w:r w:rsidR="006102C4" w:rsidRPr="0096124B">
        <w:t xml:space="preserve">there </w:t>
      </w:r>
      <w:r w:rsidR="00923A14">
        <w:t>is</w:t>
      </w:r>
      <w:r w:rsidR="00923A14" w:rsidRPr="0096124B">
        <w:t xml:space="preserve"> </w:t>
      </w:r>
      <w:r w:rsidR="006102C4" w:rsidRPr="0096124B">
        <w:t>sufficient need for two cours</w:t>
      </w:r>
      <w:r w:rsidR="00BB444F" w:rsidRPr="0096124B">
        <w:t>es, and one refresher in</w:t>
      </w:r>
      <w:r w:rsidR="006102C4" w:rsidRPr="0096124B">
        <w:t xml:space="preserve"> 2020</w:t>
      </w:r>
      <w:r w:rsidR="008E2199">
        <w:t xml:space="preserve">. The </w:t>
      </w:r>
      <w:r w:rsidR="006102C4" w:rsidRPr="0096124B">
        <w:t xml:space="preserve">refresher </w:t>
      </w:r>
      <w:r w:rsidR="008E2199">
        <w:t>will be</w:t>
      </w:r>
      <w:r w:rsidR="008E2199" w:rsidRPr="0096124B">
        <w:t xml:space="preserve"> </w:t>
      </w:r>
      <w:r w:rsidR="006102C4" w:rsidRPr="0096124B">
        <w:t xml:space="preserve">for those people who </w:t>
      </w:r>
      <w:r w:rsidR="008E2199">
        <w:t>have</w:t>
      </w:r>
      <w:r w:rsidR="008E2199" w:rsidRPr="0096124B">
        <w:t xml:space="preserve"> </w:t>
      </w:r>
      <w:r w:rsidR="006102C4" w:rsidRPr="0096124B">
        <w:t>attended one of the previous courses, remain act</w:t>
      </w:r>
      <w:r w:rsidR="006818A4">
        <w:t xml:space="preserve">ive in the system, and </w:t>
      </w:r>
      <w:r w:rsidR="00B82C6A">
        <w:t>need</w:t>
      </w:r>
      <w:r w:rsidR="006818A4">
        <w:t xml:space="preserve"> key </w:t>
      </w:r>
      <w:r w:rsidR="006102C4" w:rsidRPr="0096124B">
        <w:t>updates.</w:t>
      </w:r>
    </w:p>
    <w:p w14:paraId="49AA0ADE" w14:textId="77777777" w:rsidR="003B308B" w:rsidRPr="006818A4" w:rsidRDefault="003B308B" w:rsidP="003B308B">
      <w:pPr>
        <w:pStyle w:val="ListParagraph"/>
        <w:numPr>
          <w:ilvl w:val="0"/>
          <w:numId w:val="9"/>
        </w:numPr>
      </w:pPr>
      <w:r w:rsidRPr="006818A4">
        <w:t>A list of Classification Team Leader and Deputy allocations for 2020 was reviewed with regards to potential attendees for the February 2020 course. The list is not yet fully confirmed, and would need to be supplemented with Mentors and Secretariat representatives.</w:t>
      </w:r>
    </w:p>
    <w:p w14:paraId="5260216F" w14:textId="1DECEE4B" w:rsidR="001B1CA6" w:rsidRPr="0096124B" w:rsidRDefault="001B1CA6" w:rsidP="00484C3A">
      <w:pPr>
        <w:pStyle w:val="NoSpacing"/>
        <w:ind w:left="720"/>
      </w:pPr>
      <w:r>
        <w:t>Open Issue: The first course offering will be in Oman in February 2020, the second in June in The Netherlands, with the Refresher being held in Poland in October.</w:t>
      </w:r>
    </w:p>
    <w:p w14:paraId="3645AB4C" w14:textId="59A96A75" w:rsidR="00CD12A5" w:rsidRPr="0096124B" w:rsidRDefault="00CD12A5" w:rsidP="00CD12A5">
      <w:pPr>
        <w:pStyle w:val="NoSpacing"/>
        <w:ind w:left="720"/>
      </w:pPr>
    </w:p>
    <w:p w14:paraId="5365ECF5" w14:textId="257E6FA4" w:rsidR="00CD12A5" w:rsidRPr="0096124B" w:rsidRDefault="00CD12A5" w:rsidP="006818A4">
      <w:pPr>
        <w:pStyle w:val="NoSpacing"/>
        <w:numPr>
          <w:ilvl w:val="0"/>
          <w:numId w:val="9"/>
        </w:numPr>
      </w:pPr>
      <w:r w:rsidRPr="0096124B">
        <w:t>Review and discussion of the course timetable and session planning for the course, with consideration to session development and delivery, and key personnel that a</w:t>
      </w:r>
      <w:r w:rsidR="00BB444F" w:rsidRPr="0096124B">
        <w:t>re likely to be required. Areas</w:t>
      </w:r>
      <w:r w:rsidRPr="0096124B">
        <w:t xml:space="preserve"> identified </w:t>
      </w:r>
      <w:r w:rsidR="00BB444F" w:rsidRPr="0096124B">
        <w:t>for content development</w:t>
      </w:r>
      <w:r w:rsidR="0096124B" w:rsidRPr="0096124B">
        <w:t xml:space="preserve"> and further planning</w:t>
      </w:r>
      <w:r w:rsidRPr="0096124B">
        <w:t xml:space="preserve"> include; role players, interoperability, safety and security</w:t>
      </w:r>
      <w:r w:rsidR="001B1CA6">
        <w:t>.</w:t>
      </w:r>
    </w:p>
    <w:p w14:paraId="59E10148" w14:textId="77777777" w:rsidR="006102C4" w:rsidRDefault="006102C4" w:rsidP="006102C4">
      <w:pPr>
        <w:pStyle w:val="NoSpacing"/>
        <w:ind w:left="720"/>
        <w:rPr>
          <w:color w:val="FF0000"/>
        </w:rPr>
      </w:pPr>
    </w:p>
    <w:tbl>
      <w:tblPr>
        <w:tblStyle w:val="TableGrid"/>
        <w:tblW w:w="0" w:type="auto"/>
        <w:tblInd w:w="804" w:type="dxa"/>
        <w:tblLook w:val="04A0" w:firstRow="1" w:lastRow="0" w:firstColumn="1" w:lastColumn="0" w:noHBand="0" w:noVBand="1"/>
      </w:tblPr>
      <w:tblGrid>
        <w:gridCol w:w="3727"/>
        <w:gridCol w:w="1276"/>
      </w:tblGrid>
      <w:tr w:rsidR="0096124B" w:rsidRPr="0096124B" w14:paraId="745A7C9B" w14:textId="77777777" w:rsidTr="0096488B">
        <w:tc>
          <w:tcPr>
            <w:tcW w:w="3727" w:type="dxa"/>
            <w:shd w:val="clear" w:color="auto" w:fill="D9D9D9" w:themeFill="background1" w:themeFillShade="D9"/>
          </w:tcPr>
          <w:p w14:paraId="0692D11D" w14:textId="0908485A" w:rsidR="006102C4" w:rsidRPr="0096124B" w:rsidRDefault="006102C4" w:rsidP="006102C4">
            <w:pPr>
              <w:pStyle w:val="NoSpacing"/>
            </w:pPr>
            <w:r w:rsidRPr="0096124B">
              <w:t xml:space="preserve">Staff Availability </w:t>
            </w:r>
            <w:r w:rsidR="00577CB9" w:rsidRPr="0096124B">
              <w:t>for February</w:t>
            </w:r>
          </w:p>
        </w:tc>
        <w:tc>
          <w:tcPr>
            <w:tcW w:w="1276" w:type="dxa"/>
            <w:shd w:val="clear" w:color="auto" w:fill="D9D9D9" w:themeFill="background1" w:themeFillShade="D9"/>
          </w:tcPr>
          <w:p w14:paraId="496CF75D" w14:textId="77777777" w:rsidR="006102C4" w:rsidRPr="0096124B" w:rsidRDefault="006102C4" w:rsidP="006102C4">
            <w:pPr>
              <w:pStyle w:val="NoSpacing"/>
            </w:pPr>
          </w:p>
        </w:tc>
      </w:tr>
      <w:tr w:rsidR="0096124B" w:rsidRPr="0096124B" w14:paraId="428C2CE6" w14:textId="77777777" w:rsidTr="0096488B">
        <w:tc>
          <w:tcPr>
            <w:tcW w:w="3727" w:type="dxa"/>
          </w:tcPr>
          <w:p w14:paraId="4E6B2DA2" w14:textId="767ED915" w:rsidR="00577CB9" w:rsidRPr="0096124B" w:rsidRDefault="00577CB9" w:rsidP="006102C4">
            <w:pPr>
              <w:pStyle w:val="NoSpacing"/>
            </w:pPr>
            <w:r w:rsidRPr="0096124B">
              <w:t>Paul</w:t>
            </w:r>
            <w:r w:rsidR="00B60A54" w:rsidRPr="0096124B">
              <w:t xml:space="preserve"> Burns</w:t>
            </w:r>
          </w:p>
        </w:tc>
        <w:tc>
          <w:tcPr>
            <w:tcW w:w="1276" w:type="dxa"/>
            <w:vMerge w:val="restart"/>
          </w:tcPr>
          <w:p w14:paraId="00C28C47" w14:textId="082998BA" w:rsidR="00577CB9" w:rsidRPr="0096124B" w:rsidRDefault="00577CB9" w:rsidP="006102C4">
            <w:pPr>
              <w:pStyle w:val="NoSpacing"/>
            </w:pPr>
            <w:r w:rsidRPr="0096124B">
              <w:t>Confirmed</w:t>
            </w:r>
          </w:p>
        </w:tc>
      </w:tr>
      <w:tr w:rsidR="0096124B" w:rsidRPr="0096124B" w14:paraId="12384EEE" w14:textId="77777777" w:rsidTr="0096488B">
        <w:tc>
          <w:tcPr>
            <w:tcW w:w="3727" w:type="dxa"/>
          </w:tcPr>
          <w:p w14:paraId="16A35ABC" w14:textId="1A421579" w:rsidR="0096488B" w:rsidRPr="0096124B" w:rsidRDefault="00577CB9" w:rsidP="006102C4">
            <w:pPr>
              <w:pStyle w:val="NoSpacing"/>
            </w:pPr>
            <w:r w:rsidRPr="0096124B">
              <w:t>Kira</w:t>
            </w:r>
            <w:r w:rsidR="00B60A54" w:rsidRPr="0096124B">
              <w:t xml:space="preserve"> </w:t>
            </w:r>
            <w:proofErr w:type="spellStart"/>
            <w:r w:rsidR="00B60A54" w:rsidRPr="0096124B">
              <w:t>Chebakova</w:t>
            </w:r>
            <w:proofErr w:type="spellEnd"/>
          </w:p>
        </w:tc>
        <w:tc>
          <w:tcPr>
            <w:tcW w:w="1276" w:type="dxa"/>
            <w:vMerge/>
          </w:tcPr>
          <w:p w14:paraId="13DCA1CF" w14:textId="77777777" w:rsidR="00577CB9" w:rsidRPr="0096124B" w:rsidRDefault="00577CB9" w:rsidP="006102C4">
            <w:pPr>
              <w:pStyle w:val="NoSpacing"/>
            </w:pPr>
          </w:p>
        </w:tc>
      </w:tr>
      <w:tr w:rsidR="0096124B" w:rsidRPr="0096124B" w14:paraId="0F0F43E9" w14:textId="77777777" w:rsidTr="0096488B">
        <w:tc>
          <w:tcPr>
            <w:tcW w:w="3727" w:type="dxa"/>
          </w:tcPr>
          <w:p w14:paraId="5367AA3D" w14:textId="17E39ECA" w:rsidR="0096488B" w:rsidRPr="0096124B" w:rsidRDefault="0096488B" w:rsidP="006102C4">
            <w:pPr>
              <w:pStyle w:val="NoSpacing"/>
            </w:pPr>
            <w:r w:rsidRPr="0096124B">
              <w:t>Rob Norman</w:t>
            </w:r>
          </w:p>
        </w:tc>
        <w:tc>
          <w:tcPr>
            <w:tcW w:w="1276" w:type="dxa"/>
            <w:vMerge/>
          </w:tcPr>
          <w:p w14:paraId="4AFAB56F" w14:textId="77777777" w:rsidR="0096488B" w:rsidRPr="0096124B" w:rsidRDefault="0096488B" w:rsidP="006102C4">
            <w:pPr>
              <w:pStyle w:val="NoSpacing"/>
            </w:pPr>
          </w:p>
        </w:tc>
      </w:tr>
      <w:tr w:rsidR="0096124B" w:rsidRPr="0096124B" w14:paraId="4C420450" w14:textId="77777777" w:rsidTr="0096488B">
        <w:tc>
          <w:tcPr>
            <w:tcW w:w="3727" w:type="dxa"/>
          </w:tcPr>
          <w:p w14:paraId="1538B3F1" w14:textId="186638E5" w:rsidR="00577CB9" w:rsidRPr="0096124B" w:rsidRDefault="00577CB9" w:rsidP="006102C4">
            <w:pPr>
              <w:pStyle w:val="NoSpacing"/>
            </w:pPr>
            <w:r w:rsidRPr="0096124B">
              <w:t>Jacob</w:t>
            </w:r>
            <w:r w:rsidR="00B60A54" w:rsidRPr="0096124B">
              <w:t xml:space="preserve"> </w:t>
            </w:r>
            <w:proofErr w:type="spellStart"/>
            <w:r w:rsidR="00B60A54" w:rsidRPr="0096124B">
              <w:rPr>
                <w:rFonts w:ascii="Arial" w:eastAsia="Times New Roman" w:hAnsi="Arial"/>
                <w:sz w:val="20"/>
                <w:szCs w:val="20"/>
              </w:rPr>
              <w:t>Bolwinkel</w:t>
            </w:r>
            <w:proofErr w:type="spellEnd"/>
          </w:p>
        </w:tc>
        <w:tc>
          <w:tcPr>
            <w:tcW w:w="1276" w:type="dxa"/>
            <w:vMerge/>
          </w:tcPr>
          <w:p w14:paraId="3B5BCFDC" w14:textId="77777777" w:rsidR="00577CB9" w:rsidRPr="0096124B" w:rsidRDefault="00577CB9" w:rsidP="006102C4">
            <w:pPr>
              <w:pStyle w:val="NoSpacing"/>
            </w:pPr>
          </w:p>
        </w:tc>
      </w:tr>
      <w:tr w:rsidR="0096124B" w:rsidRPr="0096124B" w14:paraId="641ECA31" w14:textId="77777777" w:rsidTr="0096488B">
        <w:tc>
          <w:tcPr>
            <w:tcW w:w="3727" w:type="dxa"/>
          </w:tcPr>
          <w:p w14:paraId="1BAC3F4A" w14:textId="42F2C93D" w:rsidR="00577CB9" w:rsidRPr="0096124B" w:rsidRDefault="00577CB9" w:rsidP="006102C4">
            <w:pPr>
              <w:pStyle w:val="NoSpacing"/>
            </w:pPr>
            <w:proofErr w:type="spellStart"/>
            <w:r w:rsidRPr="0096124B">
              <w:t>Terje</w:t>
            </w:r>
            <w:proofErr w:type="spellEnd"/>
            <w:r w:rsidR="0096488B" w:rsidRPr="0096124B">
              <w:t xml:space="preserve"> </w:t>
            </w:r>
            <w:proofErr w:type="spellStart"/>
            <w:r w:rsidR="0096488B" w:rsidRPr="0096124B">
              <w:t>Skavdal</w:t>
            </w:r>
            <w:proofErr w:type="spellEnd"/>
          </w:p>
        </w:tc>
        <w:tc>
          <w:tcPr>
            <w:tcW w:w="1276" w:type="dxa"/>
            <w:vMerge/>
          </w:tcPr>
          <w:p w14:paraId="3A04C5A3" w14:textId="77777777" w:rsidR="00577CB9" w:rsidRPr="0096124B" w:rsidRDefault="00577CB9" w:rsidP="006102C4">
            <w:pPr>
              <w:pStyle w:val="NoSpacing"/>
            </w:pPr>
          </w:p>
        </w:tc>
      </w:tr>
      <w:tr w:rsidR="0096124B" w:rsidRPr="0096124B" w14:paraId="3CF66E5D" w14:textId="77777777" w:rsidTr="0096488B">
        <w:tc>
          <w:tcPr>
            <w:tcW w:w="3727" w:type="dxa"/>
          </w:tcPr>
          <w:p w14:paraId="0C3F9AB0" w14:textId="244C7050" w:rsidR="00577CB9" w:rsidRPr="0096124B" w:rsidRDefault="00577CB9" w:rsidP="006102C4">
            <w:pPr>
              <w:pStyle w:val="NoSpacing"/>
            </w:pPr>
            <w:r w:rsidRPr="0096124B">
              <w:t>Tsukasa</w:t>
            </w:r>
            <w:r w:rsidR="00B60A54" w:rsidRPr="0096124B">
              <w:t xml:space="preserve"> </w:t>
            </w:r>
            <w:proofErr w:type="spellStart"/>
            <w:r w:rsidR="00B60A54" w:rsidRPr="0096124B">
              <w:t>Katsube</w:t>
            </w:r>
            <w:proofErr w:type="spellEnd"/>
          </w:p>
        </w:tc>
        <w:tc>
          <w:tcPr>
            <w:tcW w:w="1276" w:type="dxa"/>
            <w:vMerge/>
          </w:tcPr>
          <w:p w14:paraId="7F1E0017" w14:textId="77777777" w:rsidR="00577CB9" w:rsidRPr="0096124B" w:rsidRDefault="00577CB9" w:rsidP="006102C4">
            <w:pPr>
              <w:pStyle w:val="NoSpacing"/>
            </w:pPr>
          </w:p>
        </w:tc>
      </w:tr>
      <w:tr w:rsidR="0096124B" w:rsidRPr="0096124B" w14:paraId="65EF0EED" w14:textId="77777777" w:rsidTr="0096488B">
        <w:tc>
          <w:tcPr>
            <w:tcW w:w="3727" w:type="dxa"/>
          </w:tcPr>
          <w:p w14:paraId="54F4B0F0" w14:textId="1F2F51F8" w:rsidR="00577CB9" w:rsidRPr="0096124B" w:rsidRDefault="00577CB9" w:rsidP="006102C4">
            <w:pPr>
              <w:pStyle w:val="NoSpacing"/>
            </w:pPr>
            <w:r w:rsidRPr="0096124B">
              <w:t>Graeme</w:t>
            </w:r>
            <w:r w:rsidR="00B60A54" w:rsidRPr="0096124B">
              <w:t xml:space="preserve"> Hall</w:t>
            </w:r>
          </w:p>
        </w:tc>
        <w:tc>
          <w:tcPr>
            <w:tcW w:w="1276" w:type="dxa"/>
            <w:vMerge/>
          </w:tcPr>
          <w:p w14:paraId="4A34C825" w14:textId="77777777" w:rsidR="00577CB9" w:rsidRPr="0096124B" w:rsidRDefault="00577CB9" w:rsidP="006102C4">
            <w:pPr>
              <w:pStyle w:val="NoSpacing"/>
            </w:pPr>
          </w:p>
        </w:tc>
      </w:tr>
      <w:tr w:rsidR="0096124B" w:rsidRPr="0096124B" w14:paraId="311FA278" w14:textId="77777777" w:rsidTr="0096488B">
        <w:tc>
          <w:tcPr>
            <w:tcW w:w="3727" w:type="dxa"/>
          </w:tcPr>
          <w:p w14:paraId="1F1C91FC" w14:textId="1EA00171" w:rsidR="00577CB9" w:rsidRPr="0096124B" w:rsidRDefault="00577CB9" w:rsidP="006102C4">
            <w:pPr>
              <w:pStyle w:val="NoSpacing"/>
            </w:pPr>
            <w:r w:rsidRPr="0096124B">
              <w:t>Dewey</w:t>
            </w:r>
            <w:r w:rsidR="00B60A54" w:rsidRPr="0096124B">
              <w:t xml:space="preserve"> Perks</w:t>
            </w:r>
          </w:p>
        </w:tc>
        <w:tc>
          <w:tcPr>
            <w:tcW w:w="1276" w:type="dxa"/>
            <w:vMerge/>
          </w:tcPr>
          <w:p w14:paraId="26193C00" w14:textId="77777777" w:rsidR="00577CB9" w:rsidRPr="0096124B" w:rsidRDefault="00577CB9" w:rsidP="006102C4">
            <w:pPr>
              <w:pStyle w:val="NoSpacing"/>
            </w:pPr>
          </w:p>
        </w:tc>
      </w:tr>
      <w:tr w:rsidR="0096124B" w:rsidRPr="0096124B" w14:paraId="78C95C9D" w14:textId="77777777" w:rsidTr="0096488B">
        <w:tc>
          <w:tcPr>
            <w:tcW w:w="3727" w:type="dxa"/>
          </w:tcPr>
          <w:p w14:paraId="145A19DF" w14:textId="3714250D" w:rsidR="00577CB9" w:rsidRPr="0096124B" w:rsidRDefault="00577CB9" w:rsidP="006102C4">
            <w:pPr>
              <w:pStyle w:val="NoSpacing"/>
            </w:pPr>
            <w:r w:rsidRPr="0096124B">
              <w:t>Trevor</w:t>
            </w:r>
            <w:r w:rsidR="00B60A54" w:rsidRPr="0096124B">
              <w:t xml:space="preserve"> Glass</w:t>
            </w:r>
          </w:p>
        </w:tc>
        <w:tc>
          <w:tcPr>
            <w:tcW w:w="1276" w:type="dxa"/>
            <w:vMerge/>
          </w:tcPr>
          <w:p w14:paraId="5F9F2E8A" w14:textId="77777777" w:rsidR="00577CB9" w:rsidRPr="0096124B" w:rsidRDefault="00577CB9" w:rsidP="006102C4">
            <w:pPr>
              <w:pStyle w:val="NoSpacing"/>
            </w:pPr>
          </w:p>
        </w:tc>
      </w:tr>
      <w:tr w:rsidR="0096124B" w:rsidRPr="0096124B" w14:paraId="14EB2376" w14:textId="77777777" w:rsidTr="0096488B">
        <w:tc>
          <w:tcPr>
            <w:tcW w:w="3727" w:type="dxa"/>
          </w:tcPr>
          <w:p w14:paraId="5C83862D" w14:textId="10405B80" w:rsidR="00577CB9" w:rsidRPr="0096124B" w:rsidRDefault="00577CB9" w:rsidP="006102C4">
            <w:pPr>
              <w:pStyle w:val="NoSpacing"/>
            </w:pPr>
            <w:r w:rsidRPr="0096124B">
              <w:t>Secretariat Representative (TBC)</w:t>
            </w:r>
          </w:p>
        </w:tc>
        <w:tc>
          <w:tcPr>
            <w:tcW w:w="1276" w:type="dxa"/>
            <w:vMerge/>
          </w:tcPr>
          <w:p w14:paraId="3CBF60A3" w14:textId="77777777" w:rsidR="00577CB9" w:rsidRPr="0096124B" w:rsidRDefault="00577CB9" w:rsidP="006102C4">
            <w:pPr>
              <w:pStyle w:val="NoSpacing"/>
            </w:pPr>
          </w:p>
        </w:tc>
      </w:tr>
      <w:tr w:rsidR="0096124B" w:rsidRPr="0096124B" w14:paraId="25940FFB" w14:textId="77777777" w:rsidTr="0096488B">
        <w:tc>
          <w:tcPr>
            <w:tcW w:w="3727" w:type="dxa"/>
          </w:tcPr>
          <w:p w14:paraId="75BCCF01" w14:textId="6D90C506" w:rsidR="006102C4" w:rsidRPr="0096124B" w:rsidRDefault="00577CB9" w:rsidP="006102C4">
            <w:pPr>
              <w:pStyle w:val="NoSpacing"/>
            </w:pPr>
            <w:r w:rsidRPr="0096124B">
              <w:t xml:space="preserve">Peter </w:t>
            </w:r>
            <w:proofErr w:type="spellStart"/>
            <w:r w:rsidRPr="0096124B">
              <w:t>Goxharaj</w:t>
            </w:r>
            <w:proofErr w:type="spellEnd"/>
          </w:p>
        </w:tc>
        <w:tc>
          <w:tcPr>
            <w:tcW w:w="1276" w:type="dxa"/>
          </w:tcPr>
          <w:p w14:paraId="675E3E97" w14:textId="199CAEED" w:rsidR="006102C4" w:rsidRPr="0096124B" w:rsidRDefault="00577CB9" w:rsidP="006102C4">
            <w:pPr>
              <w:pStyle w:val="NoSpacing"/>
            </w:pPr>
            <w:r w:rsidRPr="0096124B">
              <w:t>Potentially</w:t>
            </w:r>
          </w:p>
        </w:tc>
      </w:tr>
      <w:tr w:rsidR="0096124B" w:rsidRPr="0096124B" w14:paraId="6DB843EE" w14:textId="77777777" w:rsidTr="0096488B">
        <w:tc>
          <w:tcPr>
            <w:tcW w:w="3727" w:type="dxa"/>
          </w:tcPr>
          <w:p w14:paraId="7ECF1CE8" w14:textId="74DAC301" w:rsidR="006102C4" w:rsidRPr="0096124B" w:rsidRDefault="00577CB9" w:rsidP="006102C4">
            <w:pPr>
              <w:pStyle w:val="NoSpacing"/>
            </w:pPr>
            <w:r w:rsidRPr="0096124B">
              <w:t>Arjan Stam</w:t>
            </w:r>
          </w:p>
        </w:tc>
        <w:tc>
          <w:tcPr>
            <w:tcW w:w="1276" w:type="dxa"/>
          </w:tcPr>
          <w:p w14:paraId="6A94E8EA" w14:textId="77777777" w:rsidR="006102C4" w:rsidRPr="0096124B" w:rsidRDefault="006102C4" w:rsidP="006102C4">
            <w:pPr>
              <w:pStyle w:val="NoSpacing"/>
            </w:pPr>
          </w:p>
        </w:tc>
      </w:tr>
      <w:tr w:rsidR="0096124B" w:rsidRPr="0096124B" w14:paraId="01312EC4" w14:textId="77777777" w:rsidTr="0096488B">
        <w:tc>
          <w:tcPr>
            <w:tcW w:w="3727" w:type="dxa"/>
          </w:tcPr>
          <w:p w14:paraId="2DA13E88" w14:textId="7C984A82" w:rsidR="00577CB9" w:rsidRPr="0096124B" w:rsidRDefault="00577CB9" w:rsidP="006102C4">
            <w:pPr>
              <w:pStyle w:val="NoSpacing"/>
            </w:pPr>
            <w:r w:rsidRPr="0096124B">
              <w:t xml:space="preserve">John </w:t>
            </w:r>
            <w:proofErr w:type="spellStart"/>
            <w:r w:rsidRPr="0096124B">
              <w:t>Cawcutt</w:t>
            </w:r>
            <w:proofErr w:type="spellEnd"/>
          </w:p>
        </w:tc>
        <w:tc>
          <w:tcPr>
            <w:tcW w:w="1276" w:type="dxa"/>
          </w:tcPr>
          <w:p w14:paraId="1DE8A5E6" w14:textId="77777777" w:rsidR="00577CB9" w:rsidRPr="0096124B" w:rsidRDefault="00577CB9" w:rsidP="006102C4">
            <w:pPr>
              <w:pStyle w:val="NoSpacing"/>
            </w:pPr>
          </w:p>
        </w:tc>
      </w:tr>
      <w:tr w:rsidR="0096124B" w:rsidRPr="0096124B" w14:paraId="19C8E755" w14:textId="77777777" w:rsidTr="0096488B">
        <w:tc>
          <w:tcPr>
            <w:tcW w:w="3727" w:type="dxa"/>
          </w:tcPr>
          <w:p w14:paraId="1CDB3321" w14:textId="58CA3700" w:rsidR="00577CB9" w:rsidRPr="0096124B" w:rsidRDefault="00577CB9" w:rsidP="006102C4">
            <w:pPr>
              <w:pStyle w:val="NoSpacing"/>
            </w:pPr>
            <w:r w:rsidRPr="0096124B">
              <w:t>John Denny</w:t>
            </w:r>
          </w:p>
        </w:tc>
        <w:tc>
          <w:tcPr>
            <w:tcW w:w="1276" w:type="dxa"/>
          </w:tcPr>
          <w:p w14:paraId="2045332C" w14:textId="77777777" w:rsidR="00577CB9" w:rsidRPr="0096124B" w:rsidRDefault="00577CB9" w:rsidP="006102C4">
            <w:pPr>
              <w:pStyle w:val="NoSpacing"/>
            </w:pPr>
          </w:p>
        </w:tc>
      </w:tr>
      <w:tr w:rsidR="0096124B" w:rsidRPr="0096124B" w14:paraId="1B6CD5F6" w14:textId="77777777" w:rsidTr="0096488B">
        <w:tc>
          <w:tcPr>
            <w:tcW w:w="3727" w:type="dxa"/>
          </w:tcPr>
          <w:p w14:paraId="332C2797" w14:textId="4DA02849" w:rsidR="00577CB9" w:rsidRPr="0096124B" w:rsidRDefault="00577CB9" w:rsidP="006102C4">
            <w:pPr>
              <w:pStyle w:val="NoSpacing"/>
            </w:pPr>
            <w:r w:rsidRPr="0096124B">
              <w:t>Paul Lawless</w:t>
            </w:r>
          </w:p>
        </w:tc>
        <w:tc>
          <w:tcPr>
            <w:tcW w:w="1276" w:type="dxa"/>
          </w:tcPr>
          <w:p w14:paraId="3FF7AB21" w14:textId="77777777" w:rsidR="00577CB9" w:rsidRPr="0096124B" w:rsidRDefault="00577CB9" w:rsidP="006102C4">
            <w:pPr>
              <w:pStyle w:val="NoSpacing"/>
            </w:pPr>
          </w:p>
        </w:tc>
      </w:tr>
      <w:tr w:rsidR="0096124B" w:rsidRPr="0096124B" w14:paraId="5732A89C" w14:textId="77777777" w:rsidTr="0096488B">
        <w:tc>
          <w:tcPr>
            <w:tcW w:w="3727" w:type="dxa"/>
          </w:tcPr>
          <w:p w14:paraId="04A2F37C" w14:textId="4AFBDC74" w:rsidR="00577CB9" w:rsidRPr="0096124B" w:rsidRDefault="00577CB9" w:rsidP="006102C4">
            <w:pPr>
              <w:pStyle w:val="NoSpacing"/>
            </w:pPr>
            <w:r w:rsidRPr="0096124B">
              <w:t>Joe Kaleda</w:t>
            </w:r>
          </w:p>
        </w:tc>
        <w:tc>
          <w:tcPr>
            <w:tcW w:w="1276" w:type="dxa"/>
          </w:tcPr>
          <w:p w14:paraId="7A6386AE" w14:textId="77777777" w:rsidR="00577CB9" w:rsidRPr="0096124B" w:rsidRDefault="00577CB9" w:rsidP="006102C4">
            <w:pPr>
              <w:pStyle w:val="NoSpacing"/>
            </w:pPr>
          </w:p>
        </w:tc>
      </w:tr>
      <w:tr w:rsidR="0096124B" w:rsidRPr="0096124B" w14:paraId="0DF6F44E" w14:textId="77777777" w:rsidTr="0096488B">
        <w:tc>
          <w:tcPr>
            <w:tcW w:w="3727" w:type="dxa"/>
          </w:tcPr>
          <w:p w14:paraId="273B4240" w14:textId="397BB29E" w:rsidR="00577CB9" w:rsidRPr="0096124B" w:rsidRDefault="00577CB9" w:rsidP="006102C4">
            <w:pPr>
              <w:pStyle w:val="NoSpacing"/>
            </w:pPr>
            <w:r w:rsidRPr="0096124B">
              <w:t>IMWG</w:t>
            </w:r>
          </w:p>
        </w:tc>
        <w:tc>
          <w:tcPr>
            <w:tcW w:w="1276" w:type="dxa"/>
          </w:tcPr>
          <w:p w14:paraId="27694E8B" w14:textId="77777777" w:rsidR="00577CB9" w:rsidRPr="0096124B" w:rsidRDefault="00577CB9" w:rsidP="006102C4">
            <w:pPr>
              <w:pStyle w:val="NoSpacing"/>
            </w:pPr>
          </w:p>
        </w:tc>
      </w:tr>
      <w:tr w:rsidR="0096124B" w:rsidRPr="0096124B" w14:paraId="0E60A22D" w14:textId="77777777" w:rsidTr="0096488B">
        <w:tc>
          <w:tcPr>
            <w:tcW w:w="3727" w:type="dxa"/>
          </w:tcPr>
          <w:p w14:paraId="6C9EEC00" w14:textId="6B8F3258" w:rsidR="00577CB9" w:rsidRPr="0096124B" w:rsidRDefault="00577CB9" w:rsidP="006102C4">
            <w:pPr>
              <w:pStyle w:val="NoSpacing"/>
            </w:pPr>
            <w:r w:rsidRPr="0096124B">
              <w:lastRenderedPageBreak/>
              <w:t>Medical WG</w:t>
            </w:r>
          </w:p>
        </w:tc>
        <w:tc>
          <w:tcPr>
            <w:tcW w:w="1276" w:type="dxa"/>
          </w:tcPr>
          <w:p w14:paraId="27D0BFF3" w14:textId="77777777" w:rsidR="00577CB9" w:rsidRPr="0096124B" w:rsidRDefault="00577CB9" w:rsidP="006102C4">
            <w:pPr>
              <w:pStyle w:val="NoSpacing"/>
            </w:pPr>
          </w:p>
        </w:tc>
      </w:tr>
      <w:tr w:rsidR="0096124B" w:rsidRPr="0096124B" w14:paraId="3EB2D292" w14:textId="77777777" w:rsidTr="0096488B">
        <w:tc>
          <w:tcPr>
            <w:tcW w:w="3727" w:type="dxa"/>
          </w:tcPr>
          <w:p w14:paraId="250CA6A2" w14:textId="01FA0683" w:rsidR="00577CB9" w:rsidRPr="0096124B" w:rsidRDefault="00577CB9" w:rsidP="006102C4">
            <w:pPr>
              <w:pStyle w:val="NoSpacing"/>
            </w:pPr>
            <w:r w:rsidRPr="0096124B">
              <w:t>GRG</w:t>
            </w:r>
          </w:p>
        </w:tc>
        <w:tc>
          <w:tcPr>
            <w:tcW w:w="1276" w:type="dxa"/>
          </w:tcPr>
          <w:p w14:paraId="7161597C" w14:textId="77777777" w:rsidR="00577CB9" w:rsidRPr="0096124B" w:rsidRDefault="00577CB9" w:rsidP="006102C4">
            <w:pPr>
              <w:pStyle w:val="NoSpacing"/>
            </w:pPr>
          </w:p>
        </w:tc>
      </w:tr>
      <w:tr w:rsidR="0096124B" w:rsidRPr="0096124B" w14:paraId="7628ACEE" w14:textId="77777777" w:rsidTr="0096488B">
        <w:tc>
          <w:tcPr>
            <w:tcW w:w="3727" w:type="dxa"/>
          </w:tcPr>
          <w:p w14:paraId="011EC119" w14:textId="77777777" w:rsidR="00577CB9" w:rsidRPr="0096124B" w:rsidRDefault="00577CB9" w:rsidP="006102C4">
            <w:pPr>
              <w:pStyle w:val="NoSpacing"/>
            </w:pPr>
          </w:p>
        </w:tc>
        <w:tc>
          <w:tcPr>
            <w:tcW w:w="1276" w:type="dxa"/>
          </w:tcPr>
          <w:p w14:paraId="13E292DC" w14:textId="77777777" w:rsidR="00577CB9" w:rsidRPr="0096124B" w:rsidRDefault="00577CB9" w:rsidP="006102C4">
            <w:pPr>
              <w:pStyle w:val="NoSpacing"/>
            </w:pPr>
          </w:p>
        </w:tc>
      </w:tr>
      <w:tr w:rsidR="0096124B" w:rsidRPr="0096124B" w14:paraId="3E3E4695" w14:textId="77777777" w:rsidTr="0096488B">
        <w:tc>
          <w:tcPr>
            <w:tcW w:w="3727" w:type="dxa"/>
          </w:tcPr>
          <w:p w14:paraId="17E2CA44" w14:textId="77777777" w:rsidR="00577CB9" w:rsidRPr="0096124B" w:rsidRDefault="00577CB9" w:rsidP="006102C4">
            <w:pPr>
              <w:pStyle w:val="NoSpacing"/>
            </w:pPr>
          </w:p>
        </w:tc>
        <w:tc>
          <w:tcPr>
            <w:tcW w:w="1276" w:type="dxa"/>
          </w:tcPr>
          <w:p w14:paraId="727644E7" w14:textId="77777777" w:rsidR="00577CB9" w:rsidRPr="0096124B" w:rsidRDefault="00577CB9" w:rsidP="006102C4">
            <w:pPr>
              <w:pStyle w:val="NoSpacing"/>
            </w:pPr>
          </w:p>
        </w:tc>
      </w:tr>
    </w:tbl>
    <w:p w14:paraId="32129D0D" w14:textId="225A2A97" w:rsidR="00535692" w:rsidRDefault="00535692" w:rsidP="00535692">
      <w:pPr>
        <w:pStyle w:val="NoSpacing"/>
        <w:rPr>
          <w:color w:val="FF0000"/>
        </w:rPr>
      </w:pPr>
    </w:p>
    <w:p w14:paraId="03575598" w14:textId="69E20878" w:rsidR="00397F80" w:rsidRPr="0096124B" w:rsidRDefault="00601C9A" w:rsidP="0096776A">
      <w:r w:rsidRPr="0096124B">
        <w:t>Day 4 – 23</w:t>
      </w:r>
      <w:r w:rsidRPr="0096124B">
        <w:rPr>
          <w:vertAlign w:val="superscript"/>
        </w:rPr>
        <w:t>rd</w:t>
      </w:r>
      <w:r w:rsidRPr="0096124B">
        <w:t xml:space="preserve"> June</w:t>
      </w:r>
    </w:p>
    <w:p w14:paraId="7AD89DD4" w14:textId="207A200A" w:rsidR="00B7158D" w:rsidRDefault="00B7158D" w:rsidP="0096776A">
      <w:pPr>
        <w:pStyle w:val="ListParagraph"/>
        <w:numPr>
          <w:ilvl w:val="0"/>
          <w:numId w:val="9"/>
        </w:numPr>
      </w:pPr>
      <w:r w:rsidRPr="0096124B">
        <w:t>Paul Burns (</w:t>
      </w:r>
      <w:r w:rsidR="00880068">
        <w:t>TL Rep/</w:t>
      </w:r>
      <w:r w:rsidRPr="0096124B">
        <w:t xml:space="preserve">GRG) introduced the current draft version of Volume II Manual C, </w:t>
      </w:r>
      <w:r w:rsidR="00657786" w:rsidRPr="0096124B">
        <w:t>for s</w:t>
      </w:r>
      <w:r w:rsidRPr="0096124B">
        <w:t>ubs</w:t>
      </w:r>
      <w:r w:rsidR="00657786" w:rsidRPr="0096124B">
        <w:t>tantive review and revision in plenary.</w:t>
      </w:r>
      <w:r w:rsidR="00C0054C" w:rsidRPr="0096124B">
        <w:t xml:space="preserve"> Further revisions and additions were made throughout the document</w:t>
      </w:r>
      <w:r w:rsidR="00B60A54" w:rsidRPr="0096124B">
        <w:t>, with links to a number of other workstreams identified.</w:t>
      </w:r>
    </w:p>
    <w:p w14:paraId="2F0E8B1B" w14:textId="77777777" w:rsidR="0096124B" w:rsidRPr="0096124B" w:rsidRDefault="0096124B" w:rsidP="0096124B">
      <w:pPr>
        <w:pStyle w:val="ListParagraph"/>
      </w:pPr>
    </w:p>
    <w:p w14:paraId="2FC9DB4D" w14:textId="72735A19" w:rsidR="00B7158D" w:rsidRPr="0096124B" w:rsidRDefault="00B7158D" w:rsidP="0096776A">
      <w:r w:rsidRPr="0096124B">
        <w:t>Day 5 – 24</w:t>
      </w:r>
      <w:r w:rsidRPr="0096124B">
        <w:rPr>
          <w:vertAlign w:val="superscript"/>
        </w:rPr>
        <w:t>th</w:t>
      </w:r>
      <w:r w:rsidRPr="0096124B">
        <w:t xml:space="preserve"> June</w:t>
      </w:r>
    </w:p>
    <w:p w14:paraId="3F53497C" w14:textId="46C02EBF" w:rsidR="00592AFD" w:rsidRDefault="00592AFD" w:rsidP="008E162A">
      <w:pPr>
        <w:pStyle w:val="ListParagraph"/>
        <w:numPr>
          <w:ilvl w:val="0"/>
          <w:numId w:val="9"/>
        </w:numPr>
      </w:pPr>
      <w:r w:rsidRPr="0096124B">
        <w:t xml:space="preserve">The Group </w:t>
      </w:r>
      <w:r w:rsidR="003B308B">
        <w:t xml:space="preserve">worked intensively on revisions to the IEC – IER </w:t>
      </w:r>
      <w:r w:rsidR="00CE56DD">
        <w:t>Checklists, making</w:t>
      </w:r>
      <w:r w:rsidR="001E46D0" w:rsidRPr="0096124B">
        <w:t xml:space="preserve"> numerous revisions and </w:t>
      </w:r>
      <w:r w:rsidR="003B308B">
        <w:t xml:space="preserve">adding </w:t>
      </w:r>
      <w:r w:rsidR="001E46D0" w:rsidRPr="0096124B">
        <w:t>clarifications.</w:t>
      </w:r>
      <w:r w:rsidR="00923A14">
        <w:t xml:space="preserve"> The TWG </w:t>
      </w:r>
      <w:r w:rsidR="003B308B">
        <w:t>has forwarded these to the GRG</w:t>
      </w:r>
      <w:r w:rsidR="00923A14">
        <w:t xml:space="preserve"> for review:</w:t>
      </w:r>
    </w:p>
    <w:p w14:paraId="22DC1341" w14:textId="1D229CE9" w:rsidR="00923A14" w:rsidRDefault="00923A14" w:rsidP="00923A14">
      <w:pPr>
        <w:pStyle w:val="ListParagraph"/>
        <w:numPr>
          <w:ilvl w:val="1"/>
          <w:numId w:val="9"/>
        </w:numPr>
      </w:pPr>
      <w:r>
        <w:t>INSARAG IEC Checklist – Medium &amp; Heavy</w:t>
      </w:r>
    </w:p>
    <w:p w14:paraId="53EA4CAB" w14:textId="4A26F412" w:rsidR="00923A14" w:rsidRPr="0096124B" w:rsidRDefault="00923A14" w:rsidP="00484C3A">
      <w:pPr>
        <w:pStyle w:val="ListParagraph"/>
        <w:numPr>
          <w:ilvl w:val="1"/>
          <w:numId w:val="9"/>
        </w:numPr>
      </w:pPr>
      <w:r>
        <w:t>INSARAG IER Checklist – Medium &amp; Heavy</w:t>
      </w:r>
    </w:p>
    <w:p w14:paraId="4B803B17" w14:textId="77777777" w:rsidR="001E46D0" w:rsidRPr="0096124B" w:rsidRDefault="001E46D0" w:rsidP="00E73E43">
      <w:pPr>
        <w:pStyle w:val="ListParagraph"/>
      </w:pPr>
    </w:p>
    <w:p w14:paraId="4A7CDA6B" w14:textId="59270625" w:rsidR="001E46D0" w:rsidRPr="006818A4" w:rsidRDefault="001E46D0" w:rsidP="001E46D0">
      <w:r w:rsidRPr="006818A4">
        <w:t>Day 6 – 25</w:t>
      </w:r>
      <w:r w:rsidRPr="006818A4">
        <w:rPr>
          <w:vertAlign w:val="superscript"/>
        </w:rPr>
        <w:t>th</w:t>
      </w:r>
      <w:r w:rsidRPr="006818A4">
        <w:t xml:space="preserve"> June</w:t>
      </w:r>
    </w:p>
    <w:p w14:paraId="2A67B3E1" w14:textId="77777777" w:rsidR="00024793" w:rsidRDefault="00024793" w:rsidP="009705AD">
      <w:pPr>
        <w:pStyle w:val="ListParagraph"/>
        <w:rPr>
          <w:color w:val="FF0000"/>
        </w:rPr>
      </w:pPr>
    </w:p>
    <w:p w14:paraId="2B0FB7E0" w14:textId="77777777" w:rsidR="003B308B" w:rsidRDefault="00024793" w:rsidP="003F69DB">
      <w:pPr>
        <w:pStyle w:val="ListParagraph"/>
        <w:numPr>
          <w:ilvl w:val="0"/>
          <w:numId w:val="37"/>
        </w:numPr>
      </w:pPr>
      <w:r w:rsidRPr="00DD6F36">
        <w:t>Review and agreement of the new structure of the UC Training Course, as delivered in N</w:t>
      </w:r>
      <w:r w:rsidR="00EB2C68" w:rsidRPr="00DD6F36">
        <w:t xml:space="preserve">ew Zealand. </w:t>
      </w:r>
    </w:p>
    <w:p w14:paraId="384C4A74" w14:textId="082BEBC4" w:rsidR="00EB2C68" w:rsidRDefault="00EB2C68">
      <w:pPr>
        <w:pStyle w:val="ListParagraph"/>
      </w:pPr>
      <w:r w:rsidRPr="00DD6F36">
        <w:t>There is currently no accurate information regarding the details o</w:t>
      </w:r>
      <w:r w:rsidR="0096124B" w:rsidRPr="00DD6F36">
        <w:t>f specific team members who have attended the UC Course</w:t>
      </w:r>
      <w:r w:rsidRPr="00DD6F36">
        <w:t>, are available as UC Trainers in their respective countries, or can be made available as UC Course Facilitation staff.</w:t>
      </w:r>
    </w:p>
    <w:p w14:paraId="1800604C" w14:textId="3B7ACE33" w:rsidR="00880068" w:rsidRDefault="00880068">
      <w:pPr>
        <w:pStyle w:val="ListParagraph"/>
      </w:pPr>
      <w:r>
        <w:t>The TWG recommends that the Secretariat repoll the member states to determine:</w:t>
      </w:r>
    </w:p>
    <w:p w14:paraId="71454634" w14:textId="4CF3D0A9" w:rsidR="00880068" w:rsidRDefault="00880068" w:rsidP="00880068">
      <w:pPr>
        <w:pStyle w:val="ListParagraph"/>
        <w:ind w:left="1440"/>
      </w:pPr>
      <w:r>
        <w:t>Number of people trained</w:t>
      </w:r>
    </w:p>
    <w:p w14:paraId="4098B5D1" w14:textId="564BC77B" w:rsidR="00880068" w:rsidRDefault="00880068" w:rsidP="00880068">
      <w:pPr>
        <w:pStyle w:val="ListParagraph"/>
        <w:ind w:left="1440"/>
      </w:pPr>
      <w:r>
        <w:t>number of people trained as trainers</w:t>
      </w:r>
    </w:p>
    <w:p w14:paraId="34308A88" w14:textId="4BF42F4C" w:rsidR="00880068" w:rsidRDefault="00880068" w:rsidP="00880068">
      <w:pPr>
        <w:pStyle w:val="ListParagraph"/>
        <w:ind w:left="1440"/>
      </w:pPr>
      <w:r>
        <w:t>where the training was held</w:t>
      </w:r>
    </w:p>
    <w:p w14:paraId="71C74967" w14:textId="2A4CEAC0" w:rsidR="00880068" w:rsidRDefault="00880068" w:rsidP="00880068">
      <w:pPr>
        <w:pStyle w:val="ListParagraph"/>
        <w:ind w:left="1440"/>
      </w:pPr>
      <w:r>
        <w:t>name of the lead instructor</w:t>
      </w:r>
    </w:p>
    <w:p w14:paraId="63D698E5" w14:textId="60711F2E" w:rsidR="00880068" w:rsidRDefault="00880068" w:rsidP="00880068">
      <w:pPr>
        <w:pStyle w:val="ListParagraph"/>
        <w:ind w:left="1440"/>
      </w:pPr>
      <w:r>
        <w:t xml:space="preserve">number of course taught -- </w:t>
      </w:r>
    </w:p>
    <w:p w14:paraId="6EC613D4" w14:textId="7AF03D82" w:rsidR="00880068" w:rsidRDefault="00880068" w:rsidP="00880068">
      <w:pPr>
        <w:pStyle w:val="ListParagraph"/>
        <w:ind w:left="2160"/>
      </w:pPr>
      <w:r>
        <w:t>their team</w:t>
      </w:r>
    </w:p>
    <w:p w14:paraId="6D74A94C" w14:textId="574F6AB9" w:rsidR="00880068" w:rsidRDefault="00880068" w:rsidP="00880068">
      <w:pPr>
        <w:pStyle w:val="ListParagraph"/>
        <w:ind w:left="2160"/>
      </w:pPr>
      <w:r>
        <w:t>their region</w:t>
      </w:r>
    </w:p>
    <w:p w14:paraId="1CBE303F" w14:textId="1BCDA243" w:rsidR="00880068" w:rsidRDefault="00880068" w:rsidP="00880068">
      <w:pPr>
        <w:pStyle w:val="ListParagraph"/>
        <w:ind w:left="2160"/>
      </w:pPr>
      <w:r>
        <w:t>global</w:t>
      </w:r>
    </w:p>
    <w:p w14:paraId="309CBDB4" w14:textId="6D228B7A" w:rsidR="00573B2E" w:rsidRPr="00DD6F36" w:rsidRDefault="00573B2E" w:rsidP="00EB2C68">
      <w:pPr>
        <w:pStyle w:val="ListParagraph"/>
      </w:pPr>
    </w:p>
    <w:p w14:paraId="614DB277" w14:textId="22B3B3C5" w:rsidR="00573B2E" w:rsidRPr="00DD6F36" w:rsidRDefault="00573B2E" w:rsidP="00573B2E">
      <w:pPr>
        <w:pStyle w:val="ListParagraph"/>
        <w:numPr>
          <w:ilvl w:val="0"/>
          <w:numId w:val="37"/>
        </w:numPr>
      </w:pPr>
      <w:r w:rsidRPr="00DD6F36">
        <w:t>Tsukasa facilitated discussion on the ‘Exercise Design Handbook’ which will be used f</w:t>
      </w:r>
      <w:r w:rsidR="00DD6F36" w:rsidRPr="00DD6F36">
        <w:t>or IEC/R classification</w:t>
      </w:r>
      <w:r w:rsidRPr="00DD6F36">
        <w:t>, and team annual exercises.</w:t>
      </w:r>
      <w:r w:rsidR="00DD6F36">
        <w:t xml:space="preserve"> Suggestions for inclusion, and the location of the exercise handbook as an Annex within Manual C were agreed.</w:t>
      </w:r>
    </w:p>
    <w:p w14:paraId="5A879A43" w14:textId="77777777" w:rsidR="00DD6F36" w:rsidRDefault="00DD6F36" w:rsidP="00D513A9">
      <w:pPr>
        <w:spacing w:after="0" w:line="240" w:lineRule="auto"/>
        <w:rPr>
          <w:rFonts w:asciiTheme="minorHAnsi" w:eastAsiaTheme="minorHAnsi" w:hAnsiTheme="minorHAnsi" w:cstheme="minorBidi"/>
        </w:rPr>
      </w:pPr>
    </w:p>
    <w:tbl>
      <w:tblPr>
        <w:tblStyle w:val="TableGrid"/>
        <w:tblW w:w="10287" w:type="dxa"/>
        <w:tblInd w:w="-572" w:type="dxa"/>
        <w:tblLayout w:type="fixed"/>
        <w:tblLook w:val="04A0" w:firstRow="1" w:lastRow="0" w:firstColumn="1" w:lastColumn="0" w:noHBand="0" w:noVBand="1"/>
      </w:tblPr>
      <w:tblGrid>
        <w:gridCol w:w="3261"/>
        <w:gridCol w:w="1417"/>
        <w:gridCol w:w="4253"/>
        <w:gridCol w:w="1356"/>
      </w:tblGrid>
      <w:tr w:rsidR="009502B2" w14:paraId="01F7D249" w14:textId="05F1DDD4" w:rsidTr="00592469">
        <w:trPr>
          <w:trHeight w:val="806"/>
        </w:trPr>
        <w:tc>
          <w:tcPr>
            <w:tcW w:w="3261" w:type="dxa"/>
            <w:shd w:val="clear" w:color="auto" w:fill="D9D9D9" w:themeFill="background1" w:themeFillShade="D9"/>
          </w:tcPr>
          <w:p w14:paraId="21411342" w14:textId="4BF9A1CB" w:rsidR="009502B2" w:rsidRPr="0071097A" w:rsidRDefault="009502B2" w:rsidP="008D06F1">
            <w:pPr>
              <w:pStyle w:val="NoSpacing"/>
              <w:rPr>
                <w:b/>
              </w:rPr>
            </w:pPr>
            <w:bookmarkStart w:id="1" w:name="_Hlk11911481"/>
            <w:r w:rsidRPr="0071097A">
              <w:rPr>
                <w:b/>
              </w:rPr>
              <w:t xml:space="preserve">ACTION </w:t>
            </w:r>
          </w:p>
        </w:tc>
        <w:tc>
          <w:tcPr>
            <w:tcW w:w="1417" w:type="dxa"/>
            <w:shd w:val="clear" w:color="auto" w:fill="D9D9D9" w:themeFill="background1" w:themeFillShade="D9"/>
          </w:tcPr>
          <w:p w14:paraId="588C9F1F" w14:textId="1244B5AE" w:rsidR="009502B2" w:rsidRPr="0071097A" w:rsidRDefault="009502B2" w:rsidP="008D06F1">
            <w:pPr>
              <w:pStyle w:val="NoSpacing"/>
              <w:rPr>
                <w:b/>
              </w:rPr>
            </w:pPr>
            <w:r w:rsidRPr="0071097A">
              <w:rPr>
                <w:b/>
              </w:rPr>
              <w:t>Responsible</w:t>
            </w:r>
          </w:p>
        </w:tc>
        <w:tc>
          <w:tcPr>
            <w:tcW w:w="4253" w:type="dxa"/>
            <w:shd w:val="clear" w:color="auto" w:fill="D9D9D9" w:themeFill="background1" w:themeFillShade="D9"/>
          </w:tcPr>
          <w:p w14:paraId="25C1416E" w14:textId="6B7DB962" w:rsidR="009502B2" w:rsidRPr="0071097A" w:rsidRDefault="009502B2" w:rsidP="008D06F1">
            <w:pPr>
              <w:pStyle w:val="NoSpacing"/>
              <w:rPr>
                <w:b/>
              </w:rPr>
            </w:pPr>
            <w:r w:rsidRPr="0071097A">
              <w:rPr>
                <w:b/>
              </w:rPr>
              <w:t>Reason / Outcome</w:t>
            </w:r>
          </w:p>
        </w:tc>
        <w:tc>
          <w:tcPr>
            <w:tcW w:w="1356" w:type="dxa"/>
            <w:shd w:val="clear" w:color="auto" w:fill="D9D9D9" w:themeFill="background1" w:themeFillShade="D9"/>
          </w:tcPr>
          <w:p w14:paraId="2AD7B907" w14:textId="05583BEA" w:rsidR="009502B2" w:rsidRPr="0071097A" w:rsidRDefault="009502B2" w:rsidP="008D06F1">
            <w:pPr>
              <w:pStyle w:val="NoSpacing"/>
              <w:rPr>
                <w:b/>
              </w:rPr>
            </w:pPr>
            <w:r>
              <w:rPr>
                <w:b/>
              </w:rPr>
              <w:t>Deadline</w:t>
            </w:r>
          </w:p>
        </w:tc>
      </w:tr>
      <w:tr w:rsidR="00024793" w14:paraId="7C8CCEA3" w14:textId="77777777" w:rsidTr="00592469">
        <w:trPr>
          <w:trHeight w:val="806"/>
        </w:trPr>
        <w:tc>
          <w:tcPr>
            <w:tcW w:w="3261" w:type="dxa"/>
            <w:shd w:val="clear" w:color="auto" w:fill="auto"/>
          </w:tcPr>
          <w:p w14:paraId="35A5774F" w14:textId="1C7399EE" w:rsidR="00024793" w:rsidRPr="00573B2E" w:rsidRDefault="00DD6F36" w:rsidP="008D06F1">
            <w:pPr>
              <w:pStyle w:val="NoSpacing"/>
            </w:pPr>
            <w:r>
              <w:lastRenderedPageBreak/>
              <w:t xml:space="preserve">Develop a </w:t>
            </w:r>
            <w:r w:rsidR="00024793" w:rsidRPr="00573B2E">
              <w:t xml:space="preserve">Guidance </w:t>
            </w:r>
            <w:r>
              <w:t xml:space="preserve">Note on access, and storage system for the </w:t>
            </w:r>
            <w:r w:rsidR="00024793" w:rsidRPr="00573B2E">
              <w:t xml:space="preserve">UCC </w:t>
            </w:r>
            <w:r>
              <w:t xml:space="preserve">training </w:t>
            </w:r>
            <w:r w:rsidR="00024793" w:rsidRPr="00573B2E">
              <w:t>package</w:t>
            </w:r>
          </w:p>
        </w:tc>
        <w:tc>
          <w:tcPr>
            <w:tcW w:w="1417" w:type="dxa"/>
            <w:shd w:val="clear" w:color="auto" w:fill="auto"/>
          </w:tcPr>
          <w:p w14:paraId="27DEF4E8" w14:textId="1EC50DF0" w:rsidR="00024793" w:rsidRPr="00573B2E" w:rsidRDefault="00024793" w:rsidP="008D06F1">
            <w:pPr>
              <w:pStyle w:val="NoSpacing"/>
            </w:pPr>
            <w:r w:rsidRPr="00573B2E">
              <w:t>Graeme</w:t>
            </w:r>
            <w:r w:rsidR="00592469">
              <w:t xml:space="preserve"> and Kira</w:t>
            </w:r>
          </w:p>
        </w:tc>
        <w:tc>
          <w:tcPr>
            <w:tcW w:w="4253" w:type="dxa"/>
            <w:shd w:val="clear" w:color="auto" w:fill="auto"/>
          </w:tcPr>
          <w:p w14:paraId="2F662EA4" w14:textId="6B16667F" w:rsidR="00024793" w:rsidRPr="00573B2E" w:rsidRDefault="00573B2E" w:rsidP="008D06F1">
            <w:pPr>
              <w:pStyle w:val="NoSpacing"/>
            </w:pPr>
            <w:r w:rsidRPr="00573B2E">
              <w:t>To address updates and control of content through INSARAG.org</w:t>
            </w:r>
            <w:r w:rsidR="00EE291A">
              <w:t>. Courses have been run in China, New Zealand, USA, and soon in Russia…once Russia course is complete, a final package will be sent to the Secretariat</w:t>
            </w:r>
          </w:p>
        </w:tc>
        <w:tc>
          <w:tcPr>
            <w:tcW w:w="1356" w:type="dxa"/>
            <w:shd w:val="clear" w:color="auto" w:fill="auto"/>
          </w:tcPr>
          <w:p w14:paraId="7E18128E" w14:textId="5566FFDC" w:rsidR="00024793" w:rsidRDefault="00EE291A" w:rsidP="008D06F1">
            <w:pPr>
              <w:pStyle w:val="NoSpacing"/>
              <w:rPr>
                <w:b/>
              </w:rPr>
            </w:pPr>
            <w:r>
              <w:rPr>
                <w:b/>
              </w:rPr>
              <w:t>15 Nov</w:t>
            </w:r>
          </w:p>
        </w:tc>
      </w:tr>
      <w:tr w:rsidR="00573B2E" w14:paraId="05E9C09B" w14:textId="77777777" w:rsidTr="00592469">
        <w:trPr>
          <w:trHeight w:val="806"/>
        </w:trPr>
        <w:tc>
          <w:tcPr>
            <w:tcW w:w="3261" w:type="dxa"/>
            <w:shd w:val="clear" w:color="auto" w:fill="auto"/>
          </w:tcPr>
          <w:p w14:paraId="45A6009F" w14:textId="134F217D" w:rsidR="00573B2E" w:rsidRPr="00573B2E" w:rsidRDefault="00573B2E" w:rsidP="008D06F1">
            <w:pPr>
              <w:pStyle w:val="NoSpacing"/>
            </w:pPr>
            <w:r w:rsidRPr="00573B2E">
              <w:t>UC Trainers Records of personnel and quality control</w:t>
            </w:r>
          </w:p>
        </w:tc>
        <w:tc>
          <w:tcPr>
            <w:tcW w:w="1417" w:type="dxa"/>
            <w:shd w:val="clear" w:color="auto" w:fill="auto"/>
          </w:tcPr>
          <w:p w14:paraId="6047097A" w14:textId="77777777" w:rsidR="00573B2E" w:rsidRPr="00573B2E" w:rsidRDefault="00573B2E" w:rsidP="008D06F1">
            <w:pPr>
              <w:pStyle w:val="NoSpacing"/>
            </w:pPr>
            <w:r w:rsidRPr="00573B2E">
              <w:t>Rob, Tsukasa,</w:t>
            </w:r>
          </w:p>
          <w:p w14:paraId="0C72A80F" w14:textId="24C36D6D" w:rsidR="00573B2E" w:rsidRPr="00573B2E" w:rsidRDefault="00573B2E" w:rsidP="008D06F1">
            <w:pPr>
              <w:pStyle w:val="NoSpacing"/>
            </w:pPr>
            <w:r w:rsidRPr="00573B2E">
              <w:t>Graeme</w:t>
            </w:r>
            <w:r w:rsidR="00592469">
              <w:t>, Kira</w:t>
            </w:r>
          </w:p>
        </w:tc>
        <w:tc>
          <w:tcPr>
            <w:tcW w:w="4253" w:type="dxa"/>
            <w:shd w:val="clear" w:color="auto" w:fill="auto"/>
          </w:tcPr>
          <w:p w14:paraId="25A60830" w14:textId="2F995A50" w:rsidR="00573B2E" w:rsidRPr="00573B2E" w:rsidRDefault="00573B2E" w:rsidP="008D06F1">
            <w:pPr>
              <w:pStyle w:val="NoSpacing"/>
            </w:pPr>
            <w:r w:rsidRPr="00573B2E">
              <w:t xml:space="preserve">Options to get the required information on trained </w:t>
            </w:r>
            <w:r w:rsidR="00DD6F36">
              <w:t>personnel, and available facilitators for regional course delivery</w:t>
            </w:r>
          </w:p>
        </w:tc>
        <w:tc>
          <w:tcPr>
            <w:tcW w:w="1356" w:type="dxa"/>
            <w:shd w:val="clear" w:color="auto" w:fill="auto"/>
          </w:tcPr>
          <w:p w14:paraId="6D94F0E0" w14:textId="22EFBE6D" w:rsidR="00573B2E" w:rsidRDefault="00592469" w:rsidP="008D06F1">
            <w:pPr>
              <w:pStyle w:val="NoSpacing"/>
              <w:rPr>
                <w:b/>
              </w:rPr>
            </w:pPr>
            <w:r>
              <w:rPr>
                <w:b/>
              </w:rPr>
              <w:t>Still awaiting information from the Secretariat</w:t>
            </w:r>
          </w:p>
        </w:tc>
      </w:tr>
      <w:tr w:rsidR="00573B2E" w14:paraId="63B7181C" w14:textId="77777777" w:rsidTr="00592469">
        <w:trPr>
          <w:trHeight w:val="806"/>
        </w:trPr>
        <w:tc>
          <w:tcPr>
            <w:tcW w:w="3261" w:type="dxa"/>
            <w:shd w:val="clear" w:color="auto" w:fill="auto"/>
          </w:tcPr>
          <w:p w14:paraId="757FE30A" w14:textId="4FD667DF" w:rsidR="00573B2E" w:rsidRPr="00DD6F36" w:rsidRDefault="00573B2E" w:rsidP="008D06F1">
            <w:pPr>
              <w:pStyle w:val="NoSpacing"/>
            </w:pPr>
            <w:r w:rsidRPr="00DD6F36">
              <w:t>Draft Exercise Design Handbook</w:t>
            </w:r>
          </w:p>
        </w:tc>
        <w:tc>
          <w:tcPr>
            <w:tcW w:w="1417" w:type="dxa"/>
            <w:shd w:val="clear" w:color="auto" w:fill="auto"/>
          </w:tcPr>
          <w:p w14:paraId="11D21E4A" w14:textId="77777777" w:rsidR="00573B2E" w:rsidRDefault="003E0F69" w:rsidP="008D06F1">
            <w:pPr>
              <w:pStyle w:val="NoSpacing"/>
            </w:pPr>
            <w:r>
              <w:t>Tsukasa, Graeme,</w:t>
            </w:r>
          </w:p>
          <w:p w14:paraId="4635DE69" w14:textId="1AC24E60" w:rsidR="003E0F69" w:rsidRPr="00573B2E" w:rsidRDefault="00DD6F36" w:rsidP="008D06F1">
            <w:pPr>
              <w:pStyle w:val="NoSpacing"/>
            </w:pPr>
            <w:r>
              <w:t>Peter G.</w:t>
            </w:r>
          </w:p>
        </w:tc>
        <w:tc>
          <w:tcPr>
            <w:tcW w:w="4253" w:type="dxa"/>
            <w:shd w:val="clear" w:color="auto" w:fill="auto"/>
          </w:tcPr>
          <w:p w14:paraId="1BA24294" w14:textId="6FDD6E1E" w:rsidR="00573B2E" w:rsidRPr="00573B2E" w:rsidRDefault="00673837" w:rsidP="008D06F1">
            <w:pPr>
              <w:pStyle w:val="NoSpacing"/>
            </w:pPr>
            <w:r>
              <w:t>Preparation of draft version required for ahead of Team Leaders meeting for review</w:t>
            </w:r>
          </w:p>
        </w:tc>
        <w:tc>
          <w:tcPr>
            <w:tcW w:w="1356" w:type="dxa"/>
            <w:shd w:val="clear" w:color="auto" w:fill="auto"/>
          </w:tcPr>
          <w:p w14:paraId="3AE0F8D7" w14:textId="3200D3A2" w:rsidR="00573B2E" w:rsidRDefault="003E0F69" w:rsidP="008D06F1">
            <w:pPr>
              <w:pStyle w:val="NoSpacing"/>
              <w:rPr>
                <w:b/>
              </w:rPr>
            </w:pPr>
            <w:r>
              <w:rPr>
                <w:b/>
              </w:rPr>
              <w:t>Sept 30</w:t>
            </w:r>
            <w:r w:rsidRPr="00503359">
              <w:rPr>
                <w:b/>
                <w:vertAlign w:val="superscript"/>
              </w:rPr>
              <w:t>th</w:t>
            </w:r>
            <w:r w:rsidR="00503359">
              <w:rPr>
                <w:b/>
              </w:rPr>
              <w:t xml:space="preserve"> – draft complete; still work in progress</w:t>
            </w:r>
          </w:p>
        </w:tc>
      </w:tr>
      <w:tr w:rsidR="00831A72" w14:paraId="20141397" w14:textId="77777777" w:rsidTr="00592469">
        <w:trPr>
          <w:trHeight w:val="806"/>
        </w:trPr>
        <w:tc>
          <w:tcPr>
            <w:tcW w:w="3261" w:type="dxa"/>
            <w:shd w:val="clear" w:color="auto" w:fill="auto"/>
          </w:tcPr>
          <w:p w14:paraId="4F2FCFA1" w14:textId="4FCA4BCA" w:rsidR="00831A72" w:rsidRPr="00DD6F36" w:rsidRDefault="00831A72" w:rsidP="008D06F1">
            <w:pPr>
              <w:pStyle w:val="NoSpacing"/>
            </w:pPr>
            <w:r>
              <w:t>Addition of ‘Unique Patient Identifier’ from Patient Treatment form, onto Victim Extrication Form</w:t>
            </w:r>
          </w:p>
        </w:tc>
        <w:tc>
          <w:tcPr>
            <w:tcW w:w="1417" w:type="dxa"/>
            <w:shd w:val="clear" w:color="auto" w:fill="auto"/>
          </w:tcPr>
          <w:p w14:paraId="783D2F59" w14:textId="7AB7B189" w:rsidR="00831A72" w:rsidRDefault="00831A72" w:rsidP="008D06F1">
            <w:pPr>
              <w:pStyle w:val="NoSpacing"/>
            </w:pPr>
            <w:r>
              <w:t>Rob</w:t>
            </w:r>
          </w:p>
        </w:tc>
        <w:tc>
          <w:tcPr>
            <w:tcW w:w="4253" w:type="dxa"/>
            <w:shd w:val="clear" w:color="auto" w:fill="auto"/>
          </w:tcPr>
          <w:p w14:paraId="5E4E5DB2" w14:textId="6B03552C" w:rsidR="00831A72" w:rsidRDefault="00493700" w:rsidP="008D06F1">
            <w:pPr>
              <w:pStyle w:val="NoSpacing"/>
            </w:pPr>
            <w:r>
              <w:t xml:space="preserve">To ensure </w:t>
            </w:r>
            <w:r w:rsidR="00831A72">
              <w:t>a consistent chain of care, and recording of casualties from the point of rescue to definitive medical care.</w:t>
            </w:r>
          </w:p>
        </w:tc>
        <w:tc>
          <w:tcPr>
            <w:tcW w:w="1356" w:type="dxa"/>
            <w:shd w:val="clear" w:color="auto" w:fill="auto"/>
          </w:tcPr>
          <w:p w14:paraId="7F6D52F2" w14:textId="77777777" w:rsidR="00831A72" w:rsidRDefault="00831A72" w:rsidP="008D06F1">
            <w:pPr>
              <w:pStyle w:val="NoSpacing"/>
              <w:rPr>
                <w:b/>
              </w:rPr>
            </w:pPr>
          </w:p>
        </w:tc>
      </w:tr>
      <w:tr w:rsidR="00124D95" w14:paraId="0EB4B690" w14:textId="77777777" w:rsidTr="00592469">
        <w:trPr>
          <w:trHeight w:val="806"/>
        </w:trPr>
        <w:tc>
          <w:tcPr>
            <w:tcW w:w="3261" w:type="dxa"/>
            <w:shd w:val="clear" w:color="auto" w:fill="auto"/>
          </w:tcPr>
          <w:p w14:paraId="374C3DA0" w14:textId="000FB508" w:rsidR="00124D95" w:rsidRPr="00DD6F36" w:rsidRDefault="00124D95" w:rsidP="008D06F1">
            <w:pPr>
              <w:pStyle w:val="NoSpacing"/>
            </w:pPr>
            <w:r w:rsidRPr="00DD6F36">
              <w:t>Production of EXCON training course for ERE</w:t>
            </w:r>
          </w:p>
        </w:tc>
        <w:tc>
          <w:tcPr>
            <w:tcW w:w="1417" w:type="dxa"/>
            <w:shd w:val="clear" w:color="auto" w:fill="auto"/>
          </w:tcPr>
          <w:p w14:paraId="02E4FB2B" w14:textId="453DCA97" w:rsidR="00124D95" w:rsidRPr="00573B2E" w:rsidRDefault="00DD6F36" w:rsidP="008D06F1">
            <w:pPr>
              <w:pStyle w:val="NoSpacing"/>
            </w:pPr>
            <w:r>
              <w:t>Dewey</w:t>
            </w:r>
          </w:p>
        </w:tc>
        <w:tc>
          <w:tcPr>
            <w:tcW w:w="4253" w:type="dxa"/>
            <w:shd w:val="clear" w:color="auto" w:fill="auto"/>
          </w:tcPr>
          <w:p w14:paraId="25846482" w14:textId="0E235B83" w:rsidR="00124D95" w:rsidRDefault="00124D95" w:rsidP="008D06F1">
            <w:pPr>
              <w:pStyle w:val="NoSpacing"/>
            </w:pPr>
            <w:r>
              <w:t>Courses have been delivered in the Americas region, DP to look at standardising these, and sharing more widely.</w:t>
            </w:r>
          </w:p>
        </w:tc>
        <w:tc>
          <w:tcPr>
            <w:tcW w:w="1356" w:type="dxa"/>
            <w:shd w:val="clear" w:color="auto" w:fill="auto"/>
          </w:tcPr>
          <w:p w14:paraId="6310986F" w14:textId="1516D724" w:rsidR="00124D95" w:rsidRDefault="00503359" w:rsidP="008D06F1">
            <w:pPr>
              <w:pStyle w:val="NoSpacing"/>
              <w:rPr>
                <w:b/>
              </w:rPr>
            </w:pPr>
            <w:r>
              <w:rPr>
                <w:b/>
              </w:rPr>
              <w:t>Check with Jose Maria Garcia</w:t>
            </w:r>
          </w:p>
        </w:tc>
      </w:tr>
      <w:tr w:rsidR="009502B2" w14:paraId="3D575D37" w14:textId="30E1FF0F" w:rsidTr="00592469">
        <w:trPr>
          <w:trHeight w:val="806"/>
        </w:trPr>
        <w:tc>
          <w:tcPr>
            <w:tcW w:w="3261" w:type="dxa"/>
          </w:tcPr>
          <w:p w14:paraId="1B4AEC46" w14:textId="19754698" w:rsidR="009502B2" w:rsidRPr="0071097A" w:rsidRDefault="009502B2" w:rsidP="008D06F1">
            <w:pPr>
              <w:pStyle w:val="NoSpacing"/>
            </w:pPr>
            <w:r>
              <w:t>R</w:t>
            </w:r>
            <w:r w:rsidRPr="0071097A">
              <w:t xml:space="preserve">ationalisation of Manual C and </w:t>
            </w:r>
            <w:r>
              <w:t xml:space="preserve">modification </w:t>
            </w:r>
            <w:r w:rsidRPr="0071097A">
              <w:t xml:space="preserve">of </w:t>
            </w:r>
            <w:r>
              <w:t>Annex A</w:t>
            </w:r>
          </w:p>
        </w:tc>
        <w:tc>
          <w:tcPr>
            <w:tcW w:w="1417" w:type="dxa"/>
            <w:shd w:val="clear" w:color="auto" w:fill="FFC000"/>
          </w:tcPr>
          <w:p w14:paraId="2457044A" w14:textId="5DCC6105" w:rsidR="009502B2" w:rsidRPr="0071097A" w:rsidRDefault="009502B2" w:rsidP="008D06F1">
            <w:pPr>
              <w:pStyle w:val="NoSpacing"/>
            </w:pPr>
            <w:r>
              <w:t>D</w:t>
            </w:r>
            <w:r w:rsidR="00DD6F36">
              <w:t>ewey</w:t>
            </w:r>
            <w:r w:rsidR="00996F2C">
              <w:t xml:space="preserve"> </w:t>
            </w:r>
            <w:r>
              <w:t>and P</w:t>
            </w:r>
            <w:r w:rsidR="00DD6F36">
              <w:t>aul</w:t>
            </w:r>
          </w:p>
        </w:tc>
        <w:tc>
          <w:tcPr>
            <w:tcW w:w="4253" w:type="dxa"/>
          </w:tcPr>
          <w:p w14:paraId="163324D2" w14:textId="77777777" w:rsidR="009502B2" w:rsidRDefault="009502B2" w:rsidP="008D06F1">
            <w:pPr>
              <w:pStyle w:val="NoSpacing"/>
            </w:pPr>
            <w:r w:rsidRPr="0071097A">
              <w:t>To facilitate frequent review and updat</w:t>
            </w:r>
            <w:bookmarkStart w:id="2" w:name="_GoBack"/>
            <w:bookmarkEnd w:id="2"/>
            <w:r w:rsidRPr="0071097A">
              <w:t xml:space="preserve">e of </w:t>
            </w:r>
            <w:r>
              <w:t>the Checklist</w:t>
            </w:r>
            <w:r w:rsidRPr="0071097A">
              <w:t xml:space="preserve"> outside of Guideline</w:t>
            </w:r>
            <w:r>
              <w:t>s</w:t>
            </w:r>
            <w:r w:rsidRPr="0071097A">
              <w:t xml:space="preserve"> Review</w:t>
            </w:r>
            <w:r w:rsidR="000274C1">
              <w:t>.</w:t>
            </w:r>
          </w:p>
          <w:p w14:paraId="394C409B" w14:textId="29F61841" w:rsidR="000274C1" w:rsidRPr="0071097A" w:rsidRDefault="000274C1" w:rsidP="008D06F1">
            <w:pPr>
              <w:pStyle w:val="NoSpacing"/>
            </w:pPr>
            <w:r w:rsidRPr="000274C1">
              <w:rPr>
                <w:color w:val="FF0000"/>
              </w:rPr>
              <w:t>Ongoing</w:t>
            </w:r>
          </w:p>
        </w:tc>
        <w:tc>
          <w:tcPr>
            <w:tcW w:w="1356" w:type="dxa"/>
          </w:tcPr>
          <w:p w14:paraId="6902C128" w14:textId="3DC3C6C6" w:rsidR="009502B2" w:rsidRPr="0071097A" w:rsidRDefault="009502B2" w:rsidP="008D06F1">
            <w:pPr>
              <w:pStyle w:val="NoSpacing"/>
            </w:pPr>
          </w:p>
        </w:tc>
      </w:tr>
      <w:tr w:rsidR="009502B2" w14:paraId="2141175F" w14:textId="29B90C26" w:rsidTr="00592469">
        <w:trPr>
          <w:trHeight w:val="623"/>
        </w:trPr>
        <w:tc>
          <w:tcPr>
            <w:tcW w:w="3261" w:type="dxa"/>
          </w:tcPr>
          <w:p w14:paraId="5B9FD7D4" w14:textId="373B4FFF" w:rsidR="009502B2" w:rsidRPr="0071097A" w:rsidRDefault="009502B2" w:rsidP="008D06F1">
            <w:pPr>
              <w:pStyle w:val="NoSpacing"/>
            </w:pPr>
            <w:r w:rsidRPr="0071097A">
              <w:t>Review and revision of UC Manual</w:t>
            </w:r>
          </w:p>
        </w:tc>
        <w:tc>
          <w:tcPr>
            <w:tcW w:w="1417" w:type="dxa"/>
            <w:shd w:val="clear" w:color="auto" w:fill="FFC000"/>
          </w:tcPr>
          <w:p w14:paraId="1E27B97B" w14:textId="587519C6" w:rsidR="009502B2" w:rsidRPr="0071097A" w:rsidRDefault="009502B2" w:rsidP="008D06F1">
            <w:pPr>
              <w:pStyle w:val="NoSpacing"/>
            </w:pPr>
            <w:r>
              <w:t>R</w:t>
            </w:r>
            <w:r w:rsidR="00DD6F36">
              <w:t>ob</w:t>
            </w:r>
            <w:r>
              <w:t xml:space="preserve"> and K</w:t>
            </w:r>
            <w:r w:rsidR="00DD6F36">
              <w:t>ira</w:t>
            </w:r>
          </w:p>
        </w:tc>
        <w:tc>
          <w:tcPr>
            <w:tcW w:w="4253" w:type="dxa"/>
          </w:tcPr>
          <w:p w14:paraId="2ADB9B7D" w14:textId="6A6AA84E" w:rsidR="009502B2" w:rsidRDefault="009502B2" w:rsidP="009D0ABD">
            <w:pPr>
              <w:pStyle w:val="NoSpacing"/>
            </w:pPr>
            <w:r w:rsidRPr="0071097A">
              <w:t xml:space="preserve">To update </w:t>
            </w:r>
            <w:r>
              <w:t>considering IM updates</w:t>
            </w:r>
            <w:r w:rsidR="00124D95">
              <w:t>.</w:t>
            </w:r>
          </w:p>
          <w:p w14:paraId="750378E0" w14:textId="75679114" w:rsidR="000274C1" w:rsidRPr="0071097A" w:rsidRDefault="000274C1" w:rsidP="009D0ABD">
            <w:pPr>
              <w:pStyle w:val="NoSpacing"/>
            </w:pPr>
            <w:r w:rsidRPr="000274C1">
              <w:rPr>
                <w:color w:val="FF0000"/>
              </w:rPr>
              <w:t>Ongoing</w:t>
            </w:r>
          </w:p>
        </w:tc>
        <w:tc>
          <w:tcPr>
            <w:tcW w:w="1356" w:type="dxa"/>
          </w:tcPr>
          <w:p w14:paraId="3B13E7DE" w14:textId="1AAD6622" w:rsidR="009502B2" w:rsidRPr="0071097A" w:rsidRDefault="009502B2" w:rsidP="008D06F1">
            <w:pPr>
              <w:pStyle w:val="NoSpacing"/>
            </w:pPr>
          </w:p>
        </w:tc>
      </w:tr>
      <w:tr w:rsidR="009502B2" w14:paraId="10155DDD" w14:textId="05B3163B" w:rsidTr="00592469">
        <w:trPr>
          <w:trHeight w:val="806"/>
        </w:trPr>
        <w:tc>
          <w:tcPr>
            <w:tcW w:w="3261" w:type="dxa"/>
          </w:tcPr>
          <w:p w14:paraId="592A63DD" w14:textId="6ACE66D7" w:rsidR="009502B2" w:rsidRPr="0071097A" w:rsidRDefault="009502B2" w:rsidP="008D06F1">
            <w:pPr>
              <w:pStyle w:val="NoSpacing"/>
            </w:pPr>
            <w:r w:rsidRPr="0071097A">
              <w:t>Proposal</w:t>
            </w:r>
            <w:r w:rsidR="009D0ABD">
              <w:t xml:space="preserve"> </w:t>
            </w:r>
            <w:r w:rsidRPr="0071097A">
              <w:t>for</w:t>
            </w:r>
            <w:r>
              <w:t xml:space="preserve"> publishing Best Practice on INSARAG.Org</w:t>
            </w:r>
          </w:p>
        </w:tc>
        <w:tc>
          <w:tcPr>
            <w:tcW w:w="1417" w:type="dxa"/>
            <w:shd w:val="clear" w:color="auto" w:fill="FFC000"/>
          </w:tcPr>
          <w:p w14:paraId="4A45F2A5" w14:textId="44F78608" w:rsidR="009502B2" w:rsidRPr="0071097A" w:rsidRDefault="009502B2" w:rsidP="008D06F1">
            <w:pPr>
              <w:pStyle w:val="NoSpacing"/>
            </w:pPr>
            <w:r>
              <w:t>Confirm with GRG</w:t>
            </w:r>
          </w:p>
        </w:tc>
        <w:tc>
          <w:tcPr>
            <w:tcW w:w="4253" w:type="dxa"/>
          </w:tcPr>
          <w:p w14:paraId="75D3ACD3" w14:textId="073B3EEF" w:rsidR="009502B2" w:rsidRDefault="009502B2" w:rsidP="008D06F1">
            <w:pPr>
              <w:pStyle w:val="NoSpacing"/>
            </w:pPr>
            <w:r>
              <w:t>To ensure sharing of best practice as widely as possible. Updates a TL meetings? Best Practice section on current Checklist</w:t>
            </w:r>
            <w:r w:rsidR="00124D95">
              <w:t>.</w:t>
            </w:r>
          </w:p>
          <w:p w14:paraId="787A8A37" w14:textId="3B7C472F" w:rsidR="000274C1" w:rsidRPr="0071097A" w:rsidRDefault="000274C1" w:rsidP="008D06F1">
            <w:pPr>
              <w:pStyle w:val="NoSpacing"/>
            </w:pPr>
            <w:r w:rsidRPr="000274C1">
              <w:rPr>
                <w:color w:val="FF0000"/>
              </w:rPr>
              <w:t>Ongoing</w:t>
            </w:r>
          </w:p>
        </w:tc>
        <w:tc>
          <w:tcPr>
            <w:tcW w:w="1356" w:type="dxa"/>
          </w:tcPr>
          <w:p w14:paraId="42687C19" w14:textId="77777777" w:rsidR="009502B2" w:rsidRDefault="009502B2" w:rsidP="008D06F1">
            <w:pPr>
              <w:pStyle w:val="NoSpacing"/>
            </w:pPr>
          </w:p>
        </w:tc>
      </w:tr>
      <w:bookmarkEnd w:id="1"/>
    </w:tbl>
    <w:p w14:paraId="59856CA6" w14:textId="77777777" w:rsidR="00BA456B" w:rsidRPr="00BA456B" w:rsidRDefault="00BA456B" w:rsidP="00BA456B">
      <w:pPr>
        <w:pStyle w:val="NoSpacing"/>
        <w:rPr>
          <w:rFonts w:cs="Calibri"/>
        </w:rPr>
      </w:pPr>
    </w:p>
    <w:p w14:paraId="43467462" w14:textId="663B4FCD" w:rsidR="00BA456B" w:rsidRPr="00BA456B" w:rsidRDefault="00BA456B" w:rsidP="00BA456B">
      <w:pPr>
        <w:pStyle w:val="NoSpacing"/>
        <w:numPr>
          <w:ilvl w:val="0"/>
          <w:numId w:val="21"/>
        </w:numPr>
        <w:rPr>
          <w:rFonts w:cs="Calibri"/>
        </w:rPr>
      </w:pPr>
      <w:r>
        <w:t>The INSARAG Calendar was reviewed with regards to the number of meetings and exercises</w:t>
      </w:r>
      <w:r>
        <w:rPr>
          <w:rFonts w:cs="Calibri"/>
        </w:rPr>
        <w:t xml:space="preserve"> that would require the attendance of TWG members, or where the work of the group</w:t>
      </w:r>
      <w:r>
        <w:t xml:space="preserve"> may be shared with the wider INSARAG network, </w:t>
      </w:r>
      <w:r w:rsidR="00B82C6A">
        <w:t>this</w:t>
      </w:r>
      <w:r>
        <w:t xml:space="preserve"> was subsequently used to populate the 2019</w:t>
      </w:r>
      <w:r w:rsidR="00DD6F36">
        <w:t>/20</w:t>
      </w:r>
      <w:r>
        <w:t xml:space="preserve"> TWG workplan </w:t>
      </w:r>
    </w:p>
    <w:p w14:paraId="4FCBFFCA" w14:textId="77777777" w:rsidR="00BA456B" w:rsidRPr="00C22EA2" w:rsidRDefault="00BA456B" w:rsidP="008D06F1">
      <w:pPr>
        <w:pStyle w:val="NoSpacing"/>
        <w:ind w:left="720"/>
        <w:rPr>
          <w:color w:val="FF0000"/>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2260"/>
        <w:gridCol w:w="2261"/>
        <w:gridCol w:w="2417"/>
      </w:tblGrid>
      <w:tr w:rsidR="00F2367A" w:rsidRPr="00B551A1" w14:paraId="48116EE5" w14:textId="77777777" w:rsidTr="00CD2DF1">
        <w:tc>
          <w:tcPr>
            <w:tcW w:w="2237" w:type="dxa"/>
            <w:shd w:val="clear" w:color="auto" w:fill="D9D9D9" w:themeFill="background1" w:themeFillShade="D9"/>
            <w:vAlign w:val="center"/>
          </w:tcPr>
          <w:p w14:paraId="638406F9" w14:textId="187E6F2C" w:rsidR="00F2367A" w:rsidRPr="00B551A1" w:rsidRDefault="00F2367A" w:rsidP="00977ECC">
            <w:pPr>
              <w:pStyle w:val="NoSpacing"/>
              <w:spacing w:before="60" w:after="60"/>
              <w:jc w:val="center"/>
              <w:rPr>
                <w:rFonts w:cs="Calibri"/>
                <w:b/>
                <w:sz w:val="28"/>
              </w:rPr>
            </w:pPr>
            <w:r w:rsidRPr="00B551A1">
              <w:rPr>
                <w:rFonts w:cs="Calibri"/>
                <w:b/>
                <w:sz w:val="28"/>
              </w:rPr>
              <w:t>TWG 201</w:t>
            </w:r>
            <w:r>
              <w:rPr>
                <w:rFonts w:cs="Calibri"/>
                <w:b/>
                <w:sz w:val="28"/>
              </w:rPr>
              <w:t>9</w:t>
            </w:r>
            <w:r w:rsidR="005319F8">
              <w:rPr>
                <w:rFonts w:cs="Calibri"/>
                <w:b/>
                <w:sz w:val="28"/>
              </w:rPr>
              <w:t>/20</w:t>
            </w:r>
            <w:r w:rsidRPr="00B551A1">
              <w:rPr>
                <w:rFonts w:cs="Calibri"/>
                <w:b/>
                <w:sz w:val="28"/>
              </w:rPr>
              <w:t>:</w:t>
            </w:r>
          </w:p>
          <w:p w14:paraId="5B0C5E37" w14:textId="77777777" w:rsidR="00F2367A" w:rsidRPr="00B551A1" w:rsidRDefault="00F2367A" w:rsidP="00977ECC">
            <w:pPr>
              <w:pStyle w:val="NoSpacing"/>
              <w:spacing w:before="60" w:after="60"/>
              <w:jc w:val="center"/>
              <w:rPr>
                <w:rFonts w:cs="Calibri"/>
                <w:b/>
                <w:sz w:val="28"/>
              </w:rPr>
            </w:pPr>
            <w:r w:rsidRPr="00B551A1">
              <w:rPr>
                <w:rFonts w:cs="Calibri"/>
                <w:b/>
                <w:sz w:val="28"/>
              </w:rPr>
              <w:t>Work plan</w:t>
            </w:r>
          </w:p>
        </w:tc>
        <w:tc>
          <w:tcPr>
            <w:tcW w:w="2260" w:type="dxa"/>
            <w:shd w:val="clear" w:color="auto" w:fill="auto"/>
          </w:tcPr>
          <w:p w14:paraId="04874312" w14:textId="77777777" w:rsidR="00F2367A" w:rsidRPr="00B551A1" w:rsidRDefault="00F2367A" w:rsidP="00977ECC">
            <w:pPr>
              <w:pStyle w:val="NoSpacing"/>
              <w:spacing w:before="60" w:after="60"/>
              <w:jc w:val="center"/>
              <w:rPr>
                <w:rFonts w:cs="Calibri"/>
                <w:b/>
                <w:sz w:val="24"/>
              </w:rPr>
            </w:pPr>
            <w:r w:rsidRPr="00CD2DF1">
              <w:rPr>
                <w:rFonts w:cs="Calibri"/>
                <w:b/>
                <w:sz w:val="24"/>
              </w:rPr>
              <w:t>Development of updated TL/M course</w:t>
            </w:r>
          </w:p>
        </w:tc>
        <w:tc>
          <w:tcPr>
            <w:tcW w:w="2261" w:type="dxa"/>
            <w:shd w:val="clear" w:color="auto" w:fill="auto"/>
          </w:tcPr>
          <w:p w14:paraId="5424A9E8" w14:textId="7FD92E8E" w:rsidR="00F2367A" w:rsidRPr="00CD2DF1" w:rsidRDefault="005319F8" w:rsidP="005319F8">
            <w:pPr>
              <w:pStyle w:val="NoSpacing"/>
              <w:spacing w:before="60" w:after="60"/>
              <w:jc w:val="center"/>
              <w:rPr>
                <w:rFonts w:cs="Calibri"/>
                <w:b/>
                <w:sz w:val="24"/>
              </w:rPr>
            </w:pPr>
            <w:r w:rsidRPr="00CD2DF1">
              <w:rPr>
                <w:rFonts w:cs="Calibri"/>
                <w:b/>
                <w:sz w:val="24"/>
              </w:rPr>
              <w:t>Development Exercise Design Handbook</w:t>
            </w:r>
          </w:p>
        </w:tc>
        <w:tc>
          <w:tcPr>
            <w:tcW w:w="2417" w:type="dxa"/>
            <w:shd w:val="clear" w:color="auto" w:fill="auto"/>
            <w:vAlign w:val="center"/>
          </w:tcPr>
          <w:p w14:paraId="1D97151B" w14:textId="58CDB3AA" w:rsidR="00F2367A" w:rsidRPr="00CD2DF1" w:rsidRDefault="00F2367A" w:rsidP="00977ECC">
            <w:pPr>
              <w:pStyle w:val="NoSpacing"/>
              <w:spacing w:before="60" w:after="60"/>
              <w:jc w:val="center"/>
              <w:rPr>
                <w:rFonts w:cs="Calibri"/>
                <w:b/>
                <w:sz w:val="24"/>
              </w:rPr>
            </w:pPr>
            <w:r w:rsidRPr="00CD2DF1">
              <w:rPr>
                <w:rFonts w:cs="Calibri"/>
                <w:b/>
                <w:sz w:val="24"/>
              </w:rPr>
              <w:t>Review Manu</w:t>
            </w:r>
            <w:r w:rsidR="005319F8" w:rsidRPr="00CD2DF1">
              <w:rPr>
                <w:rFonts w:cs="Calibri"/>
                <w:b/>
                <w:sz w:val="24"/>
              </w:rPr>
              <w:t xml:space="preserve">al C content, including ToR, </w:t>
            </w:r>
            <w:r w:rsidRPr="00CD2DF1">
              <w:rPr>
                <w:rFonts w:cs="Calibri"/>
                <w:b/>
                <w:sz w:val="24"/>
              </w:rPr>
              <w:t>IEC</w:t>
            </w:r>
            <w:r w:rsidR="00764D29" w:rsidRPr="00CD2DF1">
              <w:rPr>
                <w:rFonts w:cs="Calibri"/>
                <w:b/>
                <w:sz w:val="24"/>
              </w:rPr>
              <w:t>/R</w:t>
            </w:r>
            <w:r w:rsidRPr="00CD2DF1">
              <w:rPr>
                <w:rFonts w:cs="Calibri"/>
                <w:b/>
                <w:sz w:val="24"/>
              </w:rPr>
              <w:t xml:space="preserve"> checklist</w:t>
            </w:r>
            <w:r w:rsidR="005319F8" w:rsidRPr="00CD2DF1">
              <w:rPr>
                <w:rFonts w:cs="Calibri"/>
                <w:b/>
                <w:sz w:val="24"/>
              </w:rPr>
              <w:t xml:space="preserve"> and Annexes</w:t>
            </w:r>
          </w:p>
        </w:tc>
      </w:tr>
      <w:tr w:rsidR="006F07B8" w:rsidRPr="00B551A1" w14:paraId="19810AED" w14:textId="77777777" w:rsidTr="00CD2DF1">
        <w:tc>
          <w:tcPr>
            <w:tcW w:w="2237" w:type="dxa"/>
            <w:shd w:val="clear" w:color="auto" w:fill="D9D9D9" w:themeFill="background1" w:themeFillShade="D9"/>
            <w:vAlign w:val="center"/>
          </w:tcPr>
          <w:p w14:paraId="1179973E" w14:textId="77777777" w:rsidR="006F07B8" w:rsidRDefault="006F07B8" w:rsidP="006F07B8">
            <w:pPr>
              <w:pStyle w:val="NoSpacing"/>
              <w:spacing w:before="60" w:after="60"/>
              <w:jc w:val="center"/>
              <w:rPr>
                <w:rFonts w:cs="Calibri"/>
              </w:rPr>
            </w:pPr>
            <w:r w:rsidRPr="00B32C04">
              <w:rPr>
                <w:rFonts w:cs="Calibri"/>
              </w:rPr>
              <w:t xml:space="preserve">AP Regional Meeting, </w:t>
            </w:r>
            <w:r>
              <w:rPr>
                <w:rFonts w:cs="Calibri"/>
              </w:rPr>
              <w:t>(</w:t>
            </w:r>
            <w:r w:rsidRPr="00B32C04">
              <w:rPr>
                <w:rFonts w:cs="Calibri"/>
              </w:rPr>
              <w:t>Australia</w:t>
            </w:r>
            <w:r>
              <w:rPr>
                <w:rFonts w:cs="Calibri"/>
              </w:rPr>
              <w:t>)</w:t>
            </w:r>
          </w:p>
          <w:p w14:paraId="31782A29" w14:textId="78C44CB5" w:rsidR="006F07B8" w:rsidRPr="00F2367A" w:rsidRDefault="006F07B8" w:rsidP="006F07B8">
            <w:pPr>
              <w:pStyle w:val="NoSpacing"/>
              <w:spacing w:before="60" w:after="60"/>
              <w:jc w:val="center"/>
              <w:rPr>
                <w:rFonts w:cs="Calibri"/>
              </w:rPr>
            </w:pPr>
            <w:r>
              <w:rPr>
                <w:rFonts w:cs="Calibri"/>
              </w:rPr>
              <w:t xml:space="preserve">15-16 </w:t>
            </w:r>
            <w:r w:rsidRPr="00B32C04">
              <w:rPr>
                <w:rFonts w:cs="Calibri"/>
              </w:rPr>
              <w:t>August</w:t>
            </w:r>
            <w:r>
              <w:rPr>
                <w:rFonts w:cs="Calibri"/>
              </w:rPr>
              <w:t xml:space="preserve"> 2019</w:t>
            </w:r>
          </w:p>
        </w:tc>
        <w:tc>
          <w:tcPr>
            <w:tcW w:w="6938" w:type="dxa"/>
            <w:gridSpan w:val="3"/>
            <w:shd w:val="clear" w:color="auto" w:fill="auto"/>
            <w:vAlign w:val="center"/>
          </w:tcPr>
          <w:p w14:paraId="1BD019F8" w14:textId="5B322C5C" w:rsidR="006F07B8" w:rsidRPr="00F2367A" w:rsidRDefault="006F07B8" w:rsidP="006F07B8">
            <w:pPr>
              <w:pStyle w:val="NoSpacing"/>
              <w:spacing w:before="60" w:after="60"/>
              <w:jc w:val="center"/>
              <w:rPr>
                <w:rFonts w:cs="Calibri"/>
              </w:rPr>
            </w:pPr>
            <w:r w:rsidRPr="00F2367A">
              <w:rPr>
                <w:rFonts w:cs="Calibri"/>
              </w:rPr>
              <w:t>Present “TWG updates – Regional meeting” update ppt</w:t>
            </w:r>
          </w:p>
        </w:tc>
      </w:tr>
      <w:tr w:rsidR="00F2367A" w:rsidRPr="00B551A1" w14:paraId="58541921" w14:textId="77777777" w:rsidTr="00CD2DF1">
        <w:tc>
          <w:tcPr>
            <w:tcW w:w="2237" w:type="dxa"/>
            <w:vMerge w:val="restart"/>
            <w:shd w:val="clear" w:color="auto" w:fill="D9D9D9" w:themeFill="background1" w:themeFillShade="D9"/>
            <w:vAlign w:val="center"/>
          </w:tcPr>
          <w:p w14:paraId="5AB3C293" w14:textId="77777777" w:rsidR="00F2367A" w:rsidRDefault="00B32C04" w:rsidP="00977ECC">
            <w:pPr>
              <w:pStyle w:val="NoSpacing"/>
              <w:spacing w:before="60" w:after="60"/>
              <w:jc w:val="center"/>
              <w:rPr>
                <w:rFonts w:cs="Calibri"/>
              </w:rPr>
            </w:pPr>
            <w:r w:rsidRPr="00B32C04">
              <w:rPr>
                <w:rFonts w:cs="Calibri"/>
              </w:rPr>
              <w:t>Team Leaders and Working Groups Meeting, Chile</w:t>
            </w:r>
            <w:r>
              <w:rPr>
                <w:rFonts w:cs="Calibri"/>
              </w:rPr>
              <w:t>.</w:t>
            </w:r>
          </w:p>
          <w:p w14:paraId="499B7F83" w14:textId="09B251B0" w:rsidR="00B32C04" w:rsidRPr="00F2367A" w:rsidRDefault="00B32C04" w:rsidP="00977ECC">
            <w:pPr>
              <w:pStyle w:val="NoSpacing"/>
              <w:spacing w:before="60" w:after="60"/>
              <w:jc w:val="center"/>
              <w:rPr>
                <w:rFonts w:cs="Calibri"/>
              </w:rPr>
            </w:pPr>
            <w:r>
              <w:rPr>
                <w:rFonts w:cs="Calibri"/>
              </w:rPr>
              <w:lastRenderedPageBreak/>
              <w:t xml:space="preserve">October </w:t>
            </w:r>
            <w:r w:rsidRPr="00B32C04">
              <w:rPr>
                <w:rFonts w:cs="Calibri"/>
              </w:rPr>
              <w:t>6-11</w:t>
            </w:r>
          </w:p>
        </w:tc>
        <w:tc>
          <w:tcPr>
            <w:tcW w:w="2260" w:type="dxa"/>
            <w:shd w:val="clear" w:color="auto" w:fill="auto"/>
            <w:vAlign w:val="center"/>
          </w:tcPr>
          <w:p w14:paraId="6D779BF4" w14:textId="77777777" w:rsidR="00F2367A" w:rsidRPr="00F2367A" w:rsidRDefault="00F2367A" w:rsidP="005319F8">
            <w:pPr>
              <w:pStyle w:val="NoSpacing"/>
              <w:spacing w:before="60" w:after="60"/>
              <w:jc w:val="center"/>
              <w:rPr>
                <w:rFonts w:cs="Calibri"/>
              </w:rPr>
            </w:pPr>
            <w:r w:rsidRPr="00F2367A">
              <w:rPr>
                <w:rFonts w:cs="Calibri"/>
              </w:rPr>
              <w:lastRenderedPageBreak/>
              <w:t>Finalise course contents and program.</w:t>
            </w:r>
          </w:p>
          <w:p w14:paraId="20A6D7E7" w14:textId="2CDB2D9F" w:rsidR="00F2367A" w:rsidRPr="00F2367A" w:rsidRDefault="005319F8" w:rsidP="00977ECC">
            <w:pPr>
              <w:pStyle w:val="NoSpacing"/>
              <w:spacing w:before="60" w:after="60"/>
              <w:jc w:val="center"/>
              <w:rPr>
                <w:rFonts w:cs="Calibri"/>
              </w:rPr>
            </w:pPr>
            <w:r>
              <w:rPr>
                <w:rFonts w:cs="Calibri"/>
              </w:rPr>
              <w:lastRenderedPageBreak/>
              <w:t xml:space="preserve">Commence scoping for </w:t>
            </w:r>
            <w:r w:rsidR="00F2367A" w:rsidRPr="00F2367A">
              <w:rPr>
                <w:rFonts w:cs="Calibri"/>
              </w:rPr>
              <w:t>participants.</w:t>
            </w:r>
          </w:p>
        </w:tc>
        <w:tc>
          <w:tcPr>
            <w:tcW w:w="2261" w:type="dxa"/>
            <w:shd w:val="clear" w:color="auto" w:fill="auto"/>
            <w:vAlign w:val="center"/>
          </w:tcPr>
          <w:p w14:paraId="3BB580ED" w14:textId="362B6184" w:rsidR="00F2367A" w:rsidRPr="00F2367A" w:rsidRDefault="005319F8" w:rsidP="00977ECC">
            <w:pPr>
              <w:pStyle w:val="NoSpacing"/>
              <w:spacing w:before="60" w:after="60"/>
              <w:jc w:val="center"/>
              <w:rPr>
                <w:rFonts w:cs="Calibri"/>
              </w:rPr>
            </w:pPr>
            <w:r>
              <w:rPr>
                <w:rFonts w:cs="Calibri"/>
              </w:rPr>
              <w:lastRenderedPageBreak/>
              <w:t xml:space="preserve"> Review of </w:t>
            </w:r>
            <w:r w:rsidR="00F2367A" w:rsidRPr="00F2367A">
              <w:rPr>
                <w:rFonts w:cs="Calibri"/>
              </w:rPr>
              <w:t>final draft.</w:t>
            </w:r>
          </w:p>
        </w:tc>
        <w:tc>
          <w:tcPr>
            <w:tcW w:w="2417" w:type="dxa"/>
            <w:shd w:val="clear" w:color="auto" w:fill="auto"/>
            <w:vAlign w:val="center"/>
          </w:tcPr>
          <w:p w14:paraId="3D1FCCEE" w14:textId="6CA6B99D" w:rsidR="00F2367A" w:rsidRPr="00F2367A" w:rsidRDefault="00F2367A" w:rsidP="00977ECC">
            <w:pPr>
              <w:pStyle w:val="NoSpacing"/>
              <w:spacing w:before="60" w:after="60"/>
              <w:jc w:val="center"/>
              <w:rPr>
                <w:rFonts w:cs="Calibri"/>
              </w:rPr>
            </w:pPr>
            <w:r w:rsidRPr="00F2367A">
              <w:rPr>
                <w:rFonts w:cs="Calibri"/>
              </w:rPr>
              <w:t xml:space="preserve">Finalise recommended changes to </w:t>
            </w:r>
            <w:r w:rsidR="001D3608">
              <w:rPr>
                <w:rFonts w:cs="Calibri"/>
              </w:rPr>
              <w:t>IEC and IER c</w:t>
            </w:r>
            <w:r w:rsidRPr="00F2367A">
              <w:rPr>
                <w:rFonts w:cs="Calibri"/>
              </w:rPr>
              <w:t>hecklist</w:t>
            </w:r>
            <w:r w:rsidR="001D3608">
              <w:rPr>
                <w:rFonts w:cs="Calibri"/>
              </w:rPr>
              <w:t>s</w:t>
            </w:r>
            <w:r w:rsidRPr="00F2367A">
              <w:rPr>
                <w:rFonts w:cs="Calibri"/>
              </w:rPr>
              <w:t xml:space="preserve"> and Manual C.</w:t>
            </w:r>
          </w:p>
          <w:p w14:paraId="57D4B097" w14:textId="77777777" w:rsidR="00F2367A" w:rsidRDefault="00F2367A" w:rsidP="00977ECC">
            <w:pPr>
              <w:pStyle w:val="NoSpacing"/>
              <w:spacing w:before="60" w:after="60"/>
              <w:jc w:val="center"/>
              <w:rPr>
                <w:rFonts w:cs="Calibri"/>
              </w:rPr>
            </w:pPr>
            <w:r w:rsidRPr="00F2367A">
              <w:rPr>
                <w:rFonts w:cs="Calibri"/>
              </w:rPr>
              <w:lastRenderedPageBreak/>
              <w:t>Hand over Manual C changes to GRG.</w:t>
            </w:r>
          </w:p>
          <w:p w14:paraId="08058F38" w14:textId="73242105" w:rsidR="006328E5" w:rsidRPr="00F2367A" w:rsidRDefault="006328E5" w:rsidP="00977ECC">
            <w:pPr>
              <w:pStyle w:val="NoSpacing"/>
              <w:spacing w:before="60" w:after="60"/>
              <w:jc w:val="center"/>
              <w:rPr>
                <w:rFonts w:cs="Calibri"/>
              </w:rPr>
            </w:pPr>
            <w:r>
              <w:rPr>
                <w:rFonts w:cs="Calibri"/>
              </w:rPr>
              <w:t>Complete review of all TL-M Course materials.</w:t>
            </w:r>
          </w:p>
        </w:tc>
      </w:tr>
      <w:tr w:rsidR="00F2367A" w:rsidRPr="00B551A1" w14:paraId="714B586D" w14:textId="77777777" w:rsidTr="00CD2DF1">
        <w:tc>
          <w:tcPr>
            <w:tcW w:w="2237" w:type="dxa"/>
            <w:vMerge/>
            <w:shd w:val="clear" w:color="auto" w:fill="D9D9D9" w:themeFill="background1" w:themeFillShade="D9"/>
            <w:vAlign w:val="center"/>
          </w:tcPr>
          <w:p w14:paraId="2D54F343" w14:textId="77777777" w:rsidR="00F2367A" w:rsidRPr="00F2367A" w:rsidRDefault="00F2367A" w:rsidP="00977ECC">
            <w:pPr>
              <w:pStyle w:val="NoSpacing"/>
              <w:spacing w:before="60" w:after="60"/>
              <w:jc w:val="center"/>
              <w:rPr>
                <w:rFonts w:cs="Calibri"/>
              </w:rPr>
            </w:pPr>
          </w:p>
        </w:tc>
        <w:tc>
          <w:tcPr>
            <w:tcW w:w="6938" w:type="dxa"/>
            <w:gridSpan w:val="3"/>
            <w:shd w:val="clear" w:color="auto" w:fill="auto"/>
            <w:vAlign w:val="center"/>
          </w:tcPr>
          <w:p w14:paraId="2F0516E0" w14:textId="77777777" w:rsidR="00F2367A" w:rsidRPr="00F2367A" w:rsidRDefault="00F2367A" w:rsidP="00977ECC">
            <w:pPr>
              <w:pStyle w:val="NoSpacing"/>
              <w:spacing w:before="60" w:after="60"/>
              <w:jc w:val="center"/>
              <w:rPr>
                <w:rFonts w:cs="Calibri"/>
              </w:rPr>
            </w:pPr>
            <w:r w:rsidRPr="00F2367A">
              <w:rPr>
                <w:rFonts w:cs="Calibri"/>
              </w:rPr>
              <w:t>Finalise ppt x 2 (“Team Leaders meeting” and “Regional meetings”)</w:t>
            </w:r>
          </w:p>
        </w:tc>
      </w:tr>
      <w:tr w:rsidR="00F2367A" w:rsidRPr="00B551A1" w14:paraId="77C7F3F3" w14:textId="77777777" w:rsidTr="00CD2DF1">
        <w:tc>
          <w:tcPr>
            <w:tcW w:w="2237" w:type="dxa"/>
            <w:shd w:val="clear" w:color="auto" w:fill="D9D9D9" w:themeFill="background1" w:themeFillShade="D9"/>
            <w:vAlign w:val="center"/>
          </w:tcPr>
          <w:p w14:paraId="583A56EE" w14:textId="532BB80A" w:rsidR="00F2367A" w:rsidRPr="00F2367A" w:rsidRDefault="00F2367A" w:rsidP="00977ECC">
            <w:pPr>
              <w:pStyle w:val="NoSpacing"/>
              <w:spacing w:before="60" w:after="60"/>
              <w:jc w:val="center"/>
              <w:rPr>
                <w:rFonts w:cs="Calibri"/>
              </w:rPr>
            </w:pPr>
            <w:r w:rsidRPr="00F2367A">
              <w:rPr>
                <w:rFonts w:cs="Calibri"/>
              </w:rPr>
              <w:t xml:space="preserve">Regional </w:t>
            </w:r>
            <w:r w:rsidR="001D3608">
              <w:rPr>
                <w:rFonts w:cs="Calibri"/>
              </w:rPr>
              <w:t>M</w:t>
            </w:r>
            <w:r w:rsidRPr="00F2367A">
              <w:rPr>
                <w:rFonts w:cs="Calibri"/>
              </w:rPr>
              <w:t>eeting:</w:t>
            </w:r>
          </w:p>
          <w:p w14:paraId="5125BE2E" w14:textId="2BE3C170" w:rsidR="00F2367A" w:rsidRDefault="00B32C04" w:rsidP="00977ECC">
            <w:pPr>
              <w:pStyle w:val="NoSpacing"/>
              <w:spacing w:before="60" w:after="60"/>
              <w:jc w:val="center"/>
              <w:rPr>
                <w:rFonts w:cs="Calibri"/>
              </w:rPr>
            </w:pPr>
            <w:r w:rsidRPr="00B32C04">
              <w:rPr>
                <w:rFonts w:cs="Calibri"/>
              </w:rPr>
              <w:t xml:space="preserve">AEME </w:t>
            </w:r>
            <w:r>
              <w:rPr>
                <w:rFonts w:cs="Calibri"/>
              </w:rPr>
              <w:t>(</w:t>
            </w:r>
            <w:r w:rsidRPr="00B32C04">
              <w:rPr>
                <w:rFonts w:cs="Calibri"/>
              </w:rPr>
              <w:t>Italy</w:t>
            </w:r>
            <w:r>
              <w:rPr>
                <w:rFonts w:cs="Calibri"/>
              </w:rPr>
              <w:t>)</w:t>
            </w:r>
          </w:p>
          <w:p w14:paraId="5B80BE54" w14:textId="77777777" w:rsidR="005319F8" w:rsidRPr="00F2367A" w:rsidRDefault="005319F8" w:rsidP="00977ECC">
            <w:pPr>
              <w:pStyle w:val="NoSpacing"/>
              <w:spacing w:before="60" w:after="60"/>
              <w:jc w:val="center"/>
              <w:rPr>
                <w:rFonts w:cs="Calibri"/>
              </w:rPr>
            </w:pPr>
          </w:p>
          <w:p w14:paraId="2FFDBCC2" w14:textId="73A293EF" w:rsidR="00F2367A" w:rsidRPr="00F2367A" w:rsidRDefault="005319F8" w:rsidP="00977ECC">
            <w:pPr>
              <w:pStyle w:val="NoSpacing"/>
              <w:spacing w:before="60" w:after="60"/>
              <w:jc w:val="center"/>
              <w:rPr>
                <w:rFonts w:cs="Calibri"/>
              </w:rPr>
            </w:pPr>
            <w:r>
              <w:rPr>
                <w:rFonts w:cs="Calibri"/>
              </w:rPr>
              <w:t xml:space="preserve">24 – 25 </w:t>
            </w:r>
            <w:r w:rsidR="00F2367A" w:rsidRPr="00F2367A">
              <w:rPr>
                <w:rFonts w:cs="Calibri"/>
              </w:rPr>
              <w:t>October 201</w:t>
            </w:r>
            <w:r w:rsidR="00B32C04">
              <w:rPr>
                <w:rFonts w:cs="Calibri"/>
              </w:rPr>
              <w:t>9</w:t>
            </w:r>
          </w:p>
        </w:tc>
        <w:tc>
          <w:tcPr>
            <w:tcW w:w="6938" w:type="dxa"/>
            <w:gridSpan w:val="3"/>
            <w:shd w:val="clear" w:color="auto" w:fill="auto"/>
            <w:vAlign w:val="center"/>
          </w:tcPr>
          <w:p w14:paraId="412F0F26" w14:textId="77777777" w:rsidR="00F2367A" w:rsidRDefault="00F2367A" w:rsidP="00977ECC">
            <w:pPr>
              <w:pStyle w:val="NoSpacing"/>
              <w:spacing w:before="60" w:after="60"/>
              <w:jc w:val="center"/>
              <w:rPr>
                <w:rFonts w:cs="Calibri"/>
              </w:rPr>
            </w:pPr>
            <w:r w:rsidRPr="00F2367A">
              <w:rPr>
                <w:rFonts w:cs="Calibri"/>
              </w:rPr>
              <w:t>Present “TWG updates – Regional meeting” update ppt</w:t>
            </w:r>
          </w:p>
          <w:p w14:paraId="02FA563B" w14:textId="77777777" w:rsidR="006328E5" w:rsidRDefault="006328E5" w:rsidP="00977ECC">
            <w:pPr>
              <w:pStyle w:val="NoSpacing"/>
              <w:spacing w:before="60" w:after="60"/>
              <w:jc w:val="center"/>
              <w:rPr>
                <w:rFonts w:cs="Calibri"/>
              </w:rPr>
            </w:pPr>
            <w:r>
              <w:rPr>
                <w:rFonts w:cs="Calibri"/>
              </w:rPr>
              <w:t>AP: Graeme Hall</w:t>
            </w:r>
          </w:p>
          <w:p w14:paraId="31158F13" w14:textId="77777777" w:rsidR="006328E5" w:rsidRDefault="006328E5" w:rsidP="00977ECC">
            <w:pPr>
              <w:pStyle w:val="NoSpacing"/>
              <w:spacing w:before="60" w:after="60"/>
              <w:jc w:val="center"/>
              <w:rPr>
                <w:rFonts w:cs="Calibri"/>
              </w:rPr>
            </w:pPr>
            <w:r>
              <w:rPr>
                <w:rFonts w:cs="Calibri"/>
              </w:rPr>
              <w:t>AEME</w:t>
            </w:r>
            <w:proofErr w:type="gramStart"/>
            <w:r>
              <w:rPr>
                <w:rFonts w:cs="Calibri"/>
              </w:rPr>
              <w:t>: ??</w:t>
            </w:r>
            <w:proofErr w:type="gramEnd"/>
          </w:p>
          <w:p w14:paraId="343F3458" w14:textId="4B8E4153" w:rsidR="006328E5" w:rsidRPr="00F2367A" w:rsidRDefault="006328E5" w:rsidP="00977ECC">
            <w:pPr>
              <w:pStyle w:val="NoSpacing"/>
              <w:spacing w:before="60" w:after="60"/>
              <w:jc w:val="center"/>
              <w:rPr>
                <w:rFonts w:cs="Calibri"/>
              </w:rPr>
            </w:pPr>
            <w:r>
              <w:rPr>
                <w:rFonts w:cs="Calibri"/>
              </w:rPr>
              <w:t>Americas: Dewey Perks</w:t>
            </w:r>
          </w:p>
        </w:tc>
      </w:tr>
      <w:tr w:rsidR="00F2367A" w:rsidRPr="00B551A1" w14:paraId="768A8FF7" w14:textId="77777777" w:rsidTr="00CD2DF1">
        <w:tc>
          <w:tcPr>
            <w:tcW w:w="2237" w:type="dxa"/>
            <w:shd w:val="clear" w:color="auto" w:fill="D9D9D9" w:themeFill="background1" w:themeFillShade="D9"/>
            <w:vAlign w:val="center"/>
          </w:tcPr>
          <w:p w14:paraId="4CE6A544" w14:textId="4F404926" w:rsidR="00F2367A" w:rsidRPr="00F2367A" w:rsidRDefault="00F2367A" w:rsidP="00977ECC">
            <w:pPr>
              <w:pStyle w:val="NoSpacing"/>
              <w:spacing w:before="60" w:after="60"/>
              <w:jc w:val="center"/>
              <w:rPr>
                <w:rFonts w:cs="Calibri"/>
              </w:rPr>
            </w:pPr>
            <w:r w:rsidRPr="00F2367A">
              <w:rPr>
                <w:rFonts w:cs="Calibri"/>
              </w:rPr>
              <w:t xml:space="preserve">Regional </w:t>
            </w:r>
            <w:r w:rsidR="001D3608">
              <w:rPr>
                <w:rFonts w:cs="Calibri"/>
              </w:rPr>
              <w:t>M</w:t>
            </w:r>
            <w:r w:rsidRPr="00F2367A">
              <w:rPr>
                <w:rFonts w:cs="Calibri"/>
              </w:rPr>
              <w:t>eeting:</w:t>
            </w:r>
          </w:p>
          <w:p w14:paraId="475F026F" w14:textId="209B0C00" w:rsidR="00F2367A" w:rsidRPr="00F2367A" w:rsidRDefault="00F2367A" w:rsidP="00977ECC">
            <w:pPr>
              <w:pStyle w:val="NoSpacing"/>
              <w:spacing w:before="60" w:after="60"/>
              <w:jc w:val="center"/>
              <w:rPr>
                <w:rFonts w:cs="Calibri"/>
              </w:rPr>
            </w:pPr>
            <w:r w:rsidRPr="00F2367A">
              <w:rPr>
                <w:rFonts w:cs="Calibri"/>
              </w:rPr>
              <w:t xml:space="preserve">America’s </w:t>
            </w:r>
            <w:r w:rsidR="00B32C04">
              <w:rPr>
                <w:rFonts w:cs="Calibri"/>
              </w:rPr>
              <w:t>(Argentina</w:t>
            </w:r>
            <w:r w:rsidRPr="00F2367A">
              <w:rPr>
                <w:rFonts w:cs="Calibri"/>
              </w:rPr>
              <w:t>)</w:t>
            </w:r>
          </w:p>
          <w:p w14:paraId="22ED4946" w14:textId="7294A843" w:rsidR="00F2367A" w:rsidRPr="00F2367A" w:rsidRDefault="005319F8" w:rsidP="00977ECC">
            <w:pPr>
              <w:pStyle w:val="NoSpacing"/>
              <w:spacing w:before="60" w:after="60"/>
              <w:jc w:val="center"/>
              <w:rPr>
                <w:rFonts w:cs="Calibri"/>
              </w:rPr>
            </w:pPr>
            <w:r>
              <w:rPr>
                <w:rFonts w:cs="Calibri"/>
              </w:rPr>
              <w:t>6-8</w:t>
            </w:r>
            <w:r w:rsidR="006F07B8">
              <w:rPr>
                <w:rFonts w:cs="Calibri"/>
              </w:rPr>
              <w:t xml:space="preserve"> </w:t>
            </w:r>
            <w:r w:rsidR="00F2367A" w:rsidRPr="00F2367A">
              <w:rPr>
                <w:rFonts w:cs="Calibri"/>
              </w:rPr>
              <w:t>November 201</w:t>
            </w:r>
            <w:r w:rsidR="00B32C04">
              <w:rPr>
                <w:rFonts w:cs="Calibri"/>
              </w:rPr>
              <w:t>9</w:t>
            </w:r>
          </w:p>
        </w:tc>
        <w:tc>
          <w:tcPr>
            <w:tcW w:w="6938" w:type="dxa"/>
            <w:gridSpan w:val="3"/>
            <w:shd w:val="clear" w:color="auto" w:fill="auto"/>
            <w:vAlign w:val="center"/>
          </w:tcPr>
          <w:p w14:paraId="0420B9F5" w14:textId="77777777" w:rsidR="00F2367A" w:rsidRPr="00F2367A" w:rsidRDefault="00F2367A" w:rsidP="00977ECC">
            <w:pPr>
              <w:pStyle w:val="NoSpacing"/>
              <w:spacing w:before="60" w:after="60"/>
              <w:jc w:val="center"/>
              <w:rPr>
                <w:rFonts w:cs="Calibri"/>
              </w:rPr>
            </w:pPr>
            <w:r w:rsidRPr="00F2367A">
              <w:rPr>
                <w:rFonts w:cs="Calibri"/>
              </w:rPr>
              <w:t>Present “TWG updates – Regional meeting” update ppt</w:t>
            </w:r>
          </w:p>
        </w:tc>
      </w:tr>
      <w:tr w:rsidR="005319F8" w:rsidRPr="00B551A1" w14:paraId="3749BB40" w14:textId="77777777" w:rsidTr="00CD2DF1">
        <w:tc>
          <w:tcPr>
            <w:tcW w:w="2237" w:type="dxa"/>
            <w:shd w:val="clear" w:color="auto" w:fill="D9D9D9" w:themeFill="background1" w:themeFillShade="D9"/>
            <w:vAlign w:val="center"/>
          </w:tcPr>
          <w:p w14:paraId="39A645FE" w14:textId="704317C2" w:rsidR="005319F8" w:rsidRPr="00F2367A" w:rsidRDefault="005319F8" w:rsidP="005319F8">
            <w:pPr>
              <w:pStyle w:val="NoSpacing"/>
              <w:spacing w:before="60" w:after="60"/>
              <w:jc w:val="center"/>
              <w:rPr>
                <w:rFonts w:cs="Calibri"/>
              </w:rPr>
            </w:pPr>
            <w:r w:rsidRPr="00F2367A">
              <w:rPr>
                <w:rFonts w:cs="Calibri"/>
              </w:rPr>
              <w:t xml:space="preserve">ISG </w:t>
            </w:r>
            <w:r w:rsidR="001D3608">
              <w:rPr>
                <w:rFonts w:cs="Calibri"/>
              </w:rPr>
              <w:t>M</w:t>
            </w:r>
            <w:r w:rsidRPr="00F2367A">
              <w:rPr>
                <w:rFonts w:cs="Calibri"/>
              </w:rPr>
              <w:t>eeting:</w:t>
            </w:r>
            <w:r>
              <w:rPr>
                <w:rFonts w:cs="Calibri"/>
              </w:rPr>
              <w:t xml:space="preserve"> Geneva</w:t>
            </w:r>
            <w:r w:rsidRPr="00F2367A">
              <w:rPr>
                <w:rFonts w:cs="Calibri"/>
              </w:rPr>
              <w:t xml:space="preserve">  </w:t>
            </w:r>
          </w:p>
          <w:p w14:paraId="123877B7" w14:textId="6A0BB8E5" w:rsidR="005319F8" w:rsidRPr="00F2367A" w:rsidRDefault="005319F8" w:rsidP="005319F8">
            <w:pPr>
              <w:pStyle w:val="NoSpacing"/>
              <w:spacing w:before="60" w:after="60"/>
              <w:jc w:val="center"/>
              <w:rPr>
                <w:rFonts w:cs="Calibri"/>
              </w:rPr>
            </w:pPr>
            <w:r>
              <w:rPr>
                <w:rFonts w:cs="Calibri"/>
              </w:rPr>
              <w:t>3-7 Feb 2020</w:t>
            </w:r>
          </w:p>
        </w:tc>
        <w:tc>
          <w:tcPr>
            <w:tcW w:w="6938" w:type="dxa"/>
            <w:gridSpan w:val="3"/>
            <w:shd w:val="clear" w:color="auto" w:fill="auto"/>
            <w:vAlign w:val="center"/>
          </w:tcPr>
          <w:p w14:paraId="1B556D2B" w14:textId="296D77BF" w:rsidR="005319F8" w:rsidRPr="00F2367A" w:rsidRDefault="006328E5" w:rsidP="00977ECC">
            <w:pPr>
              <w:pStyle w:val="NoSpacing"/>
              <w:spacing w:before="60" w:after="60"/>
              <w:jc w:val="center"/>
              <w:rPr>
                <w:rFonts w:cs="Calibri"/>
              </w:rPr>
            </w:pPr>
            <w:r>
              <w:rPr>
                <w:rFonts w:cs="Calibri"/>
              </w:rPr>
              <w:t>Present 2019 accomplishments and develop 2020 work plan</w:t>
            </w:r>
          </w:p>
        </w:tc>
      </w:tr>
      <w:tr w:rsidR="006F07B8" w:rsidRPr="00B551A1" w14:paraId="5F5CBB14" w14:textId="77777777" w:rsidTr="00CD2DF1">
        <w:tc>
          <w:tcPr>
            <w:tcW w:w="2237" w:type="dxa"/>
            <w:shd w:val="clear" w:color="auto" w:fill="D9D9D9" w:themeFill="background1" w:themeFillShade="D9"/>
            <w:vAlign w:val="center"/>
          </w:tcPr>
          <w:p w14:paraId="53D5BBE4" w14:textId="38C4E6F0" w:rsidR="006F07B8" w:rsidRPr="00B551A1" w:rsidRDefault="008215FB" w:rsidP="006F07B8">
            <w:pPr>
              <w:pStyle w:val="NoSpacing"/>
              <w:spacing w:before="60" w:after="60"/>
              <w:jc w:val="center"/>
              <w:rPr>
                <w:rFonts w:cs="Calibri"/>
              </w:rPr>
            </w:pPr>
            <w:r>
              <w:rPr>
                <w:rFonts w:cs="Calibri"/>
              </w:rPr>
              <w:t>Workshop</w:t>
            </w:r>
            <w:r w:rsidR="006F07B8" w:rsidRPr="00B551A1">
              <w:rPr>
                <w:rFonts w:cs="Calibri"/>
              </w:rPr>
              <w:t xml:space="preserve"> delivery:</w:t>
            </w:r>
          </w:p>
          <w:p w14:paraId="4995EC10" w14:textId="3C02C3BE" w:rsidR="006F07B8" w:rsidRPr="00B551A1" w:rsidRDefault="005319F8" w:rsidP="006F07B8">
            <w:pPr>
              <w:pStyle w:val="NoSpacing"/>
              <w:spacing w:before="60" w:after="60"/>
              <w:jc w:val="center"/>
              <w:rPr>
                <w:rFonts w:cs="Calibri"/>
              </w:rPr>
            </w:pPr>
            <w:r>
              <w:rPr>
                <w:rFonts w:cs="Calibri"/>
              </w:rPr>
              <w:t>Muscat, Oman</w:t>
            </w:r>
          </w:p>
          <w:p w14:paraId="6AF62178" w14:textId="6BFF950C" w:rsidR="006F07B8" w:rsidRPr="005319F8" w:rsidRDefault="005319F8" w:rsidP="006F07B8">
            <w:pPr>
              <w:pStyle w:val="NoSpacing"/>
              <w:spacing w:before="60" w:after="60"/>
              <w:jc w:val="center"/>
              <w:rPr>
                <w:rFonts w:cs="Calibri"/>
              </w:rPr>
            </w:pPr>
            <w:r w:rsidRPr="005319F8">
              <w:rPr>
                <w:rFonts w:cs="Calibri"/>
              </w:rPr>
              <w:t>8-16 Feb 2020</w:t>
            </w:r>
          </w:p>
        </w:tc>
        <w:tc>
          <w:tcPr>
            <w:tcW w:w="6938" w:type="dxa"/>
            <w:gridSpan w:val="3"/>
            <w:shd w:val="clear" w:color="auto" w:fill="auto"/>
            <w:vAlign w:val="center"/>
          </w:tcPr>
          <w:p w14:paraId="7F6EF93E" w14:textId="74DC47F2" w:rsidR="006F07B8" w:rsidRPr="00F2367A" w:rsidRDefault="006F07B8">
            <w:pPr>
              <w:pStyle w:val="NoSpacing"/>
              <w:spacing w:before="60" w:after="60"/>
              <w:jc w:val="center"/>
              <w:rPr>
                <w:rFonts w:cs="Calibri"/>
              </w:rPr>
            </w:pPr>
            <w:r w:rsidRPr="00B551A1">
              <w:rPr>
                <w:rFonts w:cs="Calibri"/>
              </w:rPr>
              <w:t xml:space="preserve">Deliver </w:t>
            </w:r>
            <w:r w:rsidR="00764D29">
              <w:rPr>
                <w:rFonts w:cs="Calibri"/>
              </w:rPr>
              <w:t xml:space="preserve">TLM </w:t>
            </w:r>
            <w:r w:rsidR="008215FB">
              <w:rPr>
                <w:rFonts w:cs="Calibri" w:hint="eastAsia"/>
                <w:lang w:eastAsia="ja-JP"/>
              </w:rPr>
              <w:t>workshop</w:t>
            </w:r>
          </w:p>
        </w:tc>
      </w:tr>
      <w:tr w:rsidR="00F2367A" w:rsidRPr="00B551A1" w14:paraId="56A1917D" w14:textId="77777777" w:rsidTr="00CD2DF1">
        <w:tc>
          <w:tcPr>
            <w:tcW w:w="2237" w:type="dxa"/>
            <w:shd w:val="clear" w:color="auto" w:fill="D9D9D9" w:themeFill="background1" w:themeFillShade="D9"/>
            <w:vAlign w:val="center"/>
          </w:tcPr>
          <w:p w14:paraId="7F2976E6" w14:textId="1843C0FC" w:rsidR="00F2367A" w:rsidRPr="00F2367A" w:rsidRDefault="005319F8" w:rsidP="00B82C6A">
            <w:pPr>
              <w:pStyle w:val="NoSpacing"/>
              <w:spacing w:before="60" w:after="60"/>
              <w:jc w:val="center"/>
              <w:rPr>
                <w:rFonts w:cs="Calibri"/>
              </w:rPr>
            </w:pPr>
            <w:r w:rsidRPr="005319F8">
              <w:rPr>
                <w:rFonts w:cs="Calibri"/>
              </w:rPr>
              <w:t>Second Team Leader, Mentor course pl</w:t>
            </w:r>
            <w:r w:rsidR="00B82C6A">
              <w:rPr>
                <w:rFonts w:cs="Calibri"/>
              </w:rPr>
              <w:t>anned for June 2020 Netherlands</w:t>
            </w:r>
          </w:p>
        </w:tc>
        <w:tc>
          <w:tcPr>
            <w:tcW w:w="2260" w:type="dxa"/>
            <w:shd w:val="clear" w:color="auto" w:fill="auto"/>
            <w:vAlign w:val="center"/>
          </w:tcPr>
          <w:p w14:paraId="74C343C5" w14:textId="305B63D2" w:rsidR="00F2367A" w:rsidRPr="00F2367A" w:rsidRDefault="006328E5" w:rsidP="00977ECC">
            <w:pPr>
              <w:pStyle w:val="NoSpacing"/>
              <w:spacing w:before="60" w:after="60"/>
              <w:jc w:val="center"/>
              <w:rPr>
                <w:rFonts w:cs="Calibri"/>
              </w:rPr>
            </w:pPr>
            <w:r>
              <w:rPr>
                <w:rFonts w:cs="Calibri"/>
              </w:rPr>
              <w:t>TBC</w:t>
            </w:r>
          </w:p>
        </w:tc>
        <w:tc>
          <w:tcPr>
            <w:tcW w:w="2261" w:type="dxa"/>
            <w:shd w:val="clear" w:color="auto" w:fill="auto"/>
            <w:vAlign w:val="center"/>
          </w:tcPr>
          <w:p w14:paraId="020BE444" w14:textId="09629DA9" w:rsidR="00F2367A" w:rsidRPr="00F2367A" w:rsidRDefault="006328E5" w:rsidP="00977ECC">
            <w:pPr>
              <w:pStyle w:val="NoSpacing"/>
              <w:spacing w:before="60" w:after="60"/>
              <w:jc w:val="center"/>
              <w:rPr>
                <w:rFonts w:cs="Calibri"/>
              </w:rPr>
            </w:pPr>
            <w:r>
              <w:rPr>
                <w:rFonts w:cs="Calibri"/>
              </w:rPr>
              <w:t>TBC</w:t>
            </w:r>
          </w:p>
        </w:tc>
        <w:tc>
          <w:tcPr>
            <w:tcW w:w="2417" w:type="dxa"/>
            <w:shd w:val="clear" w:color="auto" w:fill="auto"/>
            <w:vAlign w:val="center"/>
          </w:tcPr>
          <w:p w14:paraId="1D40B662" w14:textId="06D965F4" w:rsidR="00F2367A" w:rsidRPr="00F2367A" w:rsidRDefault="006328E5" w:rsidP="00977ECC">
            <w:pPr>
              <w:pStyle w:val="NoSpacing"/>
              <w:spacing w:before="60" w:after="60"/>
              <w:jc w:val="center"/>
              <w:rPr>
                <w:rFonts w:cs="Calibri"/>
              </w:rPr>
            </w:pPr>
            <w:r>
              <w:rPr>
                <w:rFonts w:cs="Calibri"/>
              </w:rPr>
              <w:t>TBC</w:t>
            </w:r>
          </w:p>
        </w:tc>
      </w:tr>
      <w:tr w:rsidR="00B82C6A" w:rsidRPr="00B551A1" w14:paraId="5F372D23" w14:textId="77777777" w:rsidTr="00CD2DF1">
        <w:tc>
          <w:tcPr>
            <w:tcW w:w="2237" w:type="dxa"/>
            <w:shd w:val="clear" w:color="auto" w:fill="D9D9D9" w:themeFill="background1" w:themeFillShade="D9"/>
            <w:vAlign w:val="center"/>
          </w:tcPr>
          <w:p w14:paraId="683FBFD6" w14:textId="03388BEE" w:rsidR="00B82C6A" w:rsidRPr="005319F8" w:rsidRDefault="00B82C6A" w:rsidP="00B82C6A">
            <w:pPr>
              <w:pStyle w:val="NoSpacing"/>
              <w:spacing w:before="60" w:after="60"/>
              <w:jc w:val="center"/>
              <w:rPr>
                <w:rFonts w:cs="Calibri"/>
              </w:rPr>
            </w:pPr>
            <w:r>
              <w:rPr>
                <w:rFonts w:cs="Calibri"/>
              </w:rPr>
              <w:t xml:space="preserve">Team Leader, mentor </w:t>
            </w:r>
            <w:r w:rsidRPr="00B82C6A">
              <w:rPr>
                <w:rFonts w:cs="Calibri"/>
              </w:rPr>
              <w:t>Refresher planned for 5th to 9th October 2020 in Poland</w:t>
            </w:r>
          </w:p>
        </w:tc>
        <w:tc>
          <w:tcPr>
            <w:tcW w:w="2260" w:type="dxa"/>
            <w:shd w:val="clear" w:color="auto" w:fill="auto"/>
            <w:vAlign w:val="center"/>
          </w:tcPr>
          <w:p w14:paraId="70AF668E" w14:textId="6057CA4E" w:rsidR="00B82C6A" w:rsidRPr="00F2367A" w:rsidRDefault="006328E5" w:rsidP="00977ECC">
            <w:pPr>
              <w:pStyle w:val="NoSpacing"/>
              <w:spacing w:before="60" w:after="60"/>
              <w:jc w:val="center"/>
              <w:rPr>
                <w:rFonts w:cs="Calibri"/>
              </w:rPr>
            </w:pPr>
            <w:r>
              <w:rPr>
                <w:rFonts w:cs="Calibri"/>
              </w:rPr>
              <w:t>TBC</w:t>
            </w:r>
          </w:p>
        </w:tc>
        <w:tc>
          <w:tcPr>
            <w:tcW w:w="2261" w:type="dxa"/>
            <w:shd w:val="clear" w:color="auto" w:fill="auto"/>
            <w:vAlign w:val="center"/>
          </w:tcPr>
          <w:p w14:paraId="13FE526B" w14:textId="589C468D" w:rsidR="00B82C6A" w:rsidRPr="00F2367A" w:rsidRDefault="006328E5" w:rsidP="00977ECC">
            <w:pPr>
              <w:pStyle w:val="NoSpacing"/>
              <w:spacing w:before="60" w:after="60"/>
              <w:jc w:val="center"/>
              <w:rPr>
                <w:rFonts w:cs="Calibri"/>
              </w:rPr>
            </w:pPr>
            <w:r>
              <w:rPr>
                <w:rFonts w:cs="Calibri"/>
              </w:rPr>
              <w:t>TBC</w:t>
            </w:r>
          </w:p>
        </w:tc>
        <w:tc>
          <w:tcPr>
            <w:tcW w:w="2417" w:type="dxa"/>
            <w:shd w:val="clear" w:color="auto" w:fill="auto"/>
            <w:vAlign w:val="center"/>
          </w:tcPr>
          <w:p w14:paraId="1EAC9E07" w14:textId="5897F408" w:rsidR="00B82C6A" w:rsidRPr="00F2367A" w:rsidRDefault="006328E5" w:rsidP="00977ECC">
            <w:pPr>
              <w:pStyle w:val="NoSpacing"/>
              <w:spacing w:before="60" w:after="60"/>
              <w:jc w:val="center"/>
              <w:rPr>
                <w:rFonts w:cs="Calibri"/>
              </w:rPr>
            </w:pPr>
            <w:r>
              <w:rPr>
                <w:rFonts w:cs="Calibri"/>
              </w:rPr>
              <w:t>TBC</w:t>
            </w:r>
          </w:p>
        </w:tc>
      </w:tr>
    </w:tbl>
    <w:p w14:paraId="4E86D349" w14:textId="77777777" w:rsidR="00361962" w:rsidRPr="00C22EA2" w:rsidRDefault="00361962" w:rsidP="00361962">
      <w:pPr>
        <w:pStyle w:val="NoSpacing"/>
        <w:rPr>
          <w:rFonts w:cs="Calibri"/>
          <w:color w:val="FF0000"/>
        </w:rPr>
      </w:pPr>
    </w:p>
    <w:p w14:paraId="25647794" w14:textId="2B24D4E0" w:rsidR="00361962" w:rsidRPr="00B82C6A" w:rsidRDefault="00B82C6A" w:rsidP="00361962">
      <w:pPr>
        <w:pStyle w:val="NoSpacing"/>
        <w:rPr>
          <w:rFonts w:cs="Calibri"/>
          <w:b/>
          <w:lang w:eastAsia="ja-JP"/>
        </w:rPr>
      </w:pPr>
      <w:bookmarkStart w:id="3" w:name="_Hlk12383055"/>
      <w:r w:rsidRPr="00B82C6A">
        <w:rPr>
          <w:rFonts w:cs="Calibri" w:hint="eastAsia"/>
          <w:b/>
          <w:lang w:eastAsia="ja-JP"/>
        </w:rPr>
        <w:t>TWG Work Plan in 2019:</w:t>
      </w:r>
    </w:p>
    <w:bookmarkEnd w:id="3"/>
    <w:p w14:paraId="7C7D05C3" w14:textId="0E02BB1E" w:rsidR="00D95D82" w:rsidRPr="00FE11C3" w:rsidRDefault="00F12632" w:rsidP="00361962">
      <w:pPr>
        <w:pStyle w:val="NoSpacing"/>
        <w:rPr>
          <w:rFonts w:cs="Calibri"/>
        </w:rPr>
      </w:pPr>
      <w:r>
        <w:rPr>
          <w:rFonts w:cs="Calibri"/>
          <w:lang w:eastAsia="ja-JP"/>
        </w:rPr>
        <w:t xml:space="preserve"> -</w:t>
      </w:r>
      <w:r w:rsidR="00B82C6A">
        <w:rPr>
          <w:rFonts w:cs="Calibri"/>
          <w:lang w:eastAsia="ja-JP"/>
        </w:rPr>
        <w:t xml:space="preserve"> </w:t>
      </w:r>
      <w:r>
        <w:rPr>
          <w:rFonts w:cs="Calibri"/>
          <w:lang w:eastAsia="ja-JP"/>
        </w:rPr>
        <w:t xml:space="preserve">TWG will hold its final meeting of 2019 </w:t>
      </w:r>
      <w:r w:rsidR="00B51FE6" w:rsidRPr="00996F2C">
        <w:rPr>
          <w:rFonts w:cs="Calibri"/>
          <w:lang w:eastAsia="ja-JP"/>
        </w:rPr>
        <w:t>back</w:t>
      </w:r>
      <w:r w:rsidR="001D3608">
        <w:rPr>
          <w:rFonts w:cs="Calibri"/>
          <w:lang w:eastAsia="ja-JP"/>
        </w:rPr>
        <w:t>-</w:t>
      </w:r>
      <w:r w:rsidR="00B51FE6" w:rsidRPr="00996F2C">
        <w:rPr>
          <w:rFonts w:cs="Calibri"/>
          <w:lang w:eastAsia="ja-JP"/>
        </w:rPr>
        <w:t>to</w:t>
      </w:r>
      <w:r w:rsidR="001D3608">
        <w:rPr>
          <w:rFonts w:cs="Calibri"/>
          <w:lang w:eastAsia="ja-JP"/>
        </w:rPr>
        <w:t>-</w:t>
      </w:r>
      <w:r w:rsidR="00B51FE6" w:rsidRPr="00996F2C">
        <w:rPr>
          <w:rFonts w:cs="Calibri"/>
          <w:lang w:eastAsia="ja-JP"/>
        </w:rPr>
        <w:t xml:space="preserve">back with the </w:t>
      </w:r>
      <w:r w:rsidR="001D3608">
        <w:rPr>
          <w:rFonts w:cs="Calibri"/>
          <w:lang w:eastAsia="ja-JP"/>
        </w:rPr>
        <w:t xml:space="preserve">USAR </w:t>
      </w:r>
      <w:r w:rsidR="00B51FE6" w:rsidRPr="00996F2C">
        <w:rPr>
          <w:rFonts w:cs="Calibri"/>
          <w:lang w:eastAsia="ja-JP"/>
        </w:rPr>
        <w:t>Team Leaders M</w:t>
      </w:r>
      <w:r w:rsidR="00D95D82" w:rsidRPr="00996F2C">
        <w:rPr>
          <w:rFonts w:cs="Calibri"/>
          <w:lang w:eastAsia="ja-JP"/>
        </w:rPr>
        <w:t>eeting</w:t>
      </w:r>
      <w:r>
        <w:rPr>
          <w:rFonts w:cs="Calibri"/>
          <w:lang w:eastAsia="ja-JP"/>
        </w:rPr>
        <w:t xml:space="preserve"> in October in Chile</w:t>
      </w:r>
      <w:r w:rsidR="00D95D82" w:rsidRPr="00996F2C">
        <w:rPr>
          <w:rFonts w:cs="Calibri"/>
          <w:lang w:eastAsia="ja-JP"/>
        </w:rPr>
        <w:t xml:space="preserve">. </w:t>
      </w:r>
      <w:r>
        <w:rPr>
          <w:rFonts w:cs="Calibri"/>
          <w:lang w:eastAsia="ja-JP"/>
        </w:rPr>
        <w:t>TWG members may</w:t>
      </w:r>
      <w:r w:rsidR="00D95D82" w:rsidRPr="00996F2C">
        <w:rPr>
          <w:rFonts w:cs="Calibri"/>
          <w:lang w:eastAsia="ja-JP"/>
        </w:rPr>
        <w:t xml:space="preserve"> be required to attend each Regional Meeting of their respective region to represent TWG. </w:t>
      </w:r>
    </w:p>
    <w:p w14:paraId="151A2C1C" w14:textId="281AE7DE" w:rsidR="005A1306" w:rsidRPr="00FE11C3" w:rsidRDefault="005A1306" w:rsidP="00361962">
      <w:pPr>
        <w:pStyle w:val="NoSpacing"/>
        <w:rPr>
          <w:rFonts w:cs="Calibri"/>
        </w:rPr>
      </w:pPr>
    </w:p>
    <w:p w14:paraId="2B3E043E" w14:textId="1F8B158B" w:rsidR="005A1306" w:rsidRPr="00484C3A" w:rsidRDefault="00FA0C43" w:rsidP="00361962">
      <w:pPr>
        <w:pStyle w:val="NoSpacing"/>
        <w:rPr>
          <w:rFonts w:cs="Calibri"/>
          <w:b/>
          <w:bCs/>
          <w:lang w:eastAsia="ja-JP"/>
        </w:rPr>
      </w:pPr>
      <w:r w:rsidRPr="00484C3A">
        <w:rPr>
          <w:rFonts w:cs="Calibri"/>
          <w:b/>
          <w:bCs/>
          <w:lang w:eastAsia="ja-JP"/>
        </w:rPr>
        <w:t>Acknowledgement:</w:t>
      </w:r>
    </w:p>
    <w:p w14:paraId="35C627D9" w14:textId="72D0DD6B" w:rsidR="00A70035" w:rsidRDefault="00A70035" w:rsidP="00361962">
      <w:pPr>
        <w:pStyle w:val="NoSpacing"/>
        <w:rPr>
          <w:rFonts w:cs="Calibri"/>
          <w:lang w:eastAsia="ja-JP"/>
        </w:rPr>
      </w:pPr>
    </w:p>
    <w:p w14:paraId="51CB5273" w14:textId="5377662B" w:rsidR="00A70035" w:rsidRPr="00484C3A" w:rsidRDefault="00A70035" w:rsidP="00361962">
      <w:pPr>
        <w:pStyle w:val="NoSpacing"/>
        <w:rPr>
          <w:rFonts w:cs="Calibri"/>
          <w:color w:val="000000" w:themeColor="text1"/>
          <w:lang w:eastAsia="ja-JP"/>
        </w:rPr>
      </w:pPr>
      <w:r w:rsidRPr="00484C3A">
        <w:rPr>
          <w:rFonts w:cs="Calibri"/>
          <w:color w:val="000000" w:themeColor="text1"/>
          <w:lang w:eastAsia="ja-JP"/>
        </w:rPr>
        <w:t xml:space="preserve">The meeting was hosted by the Sultanate of Oman, </w:t>
      </w:r>
      <w:r w:rsidR="007C40AB" w:rsidRPr="00484C3A">
        <w:rPr>
          <w:rFonts w:cs="Calibri"/>
          <w:color w:val="000000" w:themeColor="text1"/>
          <w:lang w:eastAsia="ja-JP"/>
        </w:rPr>
        <w:t xml:space="preserve">Royal Oman Police (ROP), </w:t>
      </w:r>
      <w:r w:rsidRPr="00484C3A">
        <w:rPr>
          <w:rFonts w:cs="Calibri"/>
          <w:color w:val="000000" w:themeColor="text1"/>
          <w:lang w:eastAsia="ja-JP"/>
        </w:rPr>
        <w:t xml:space="preserve">Public Authority for Civil Defense and Ambulance (PACDA), in Muscat, Oman. The meeting would not have been </w:t>
      </w:r>
      <w:r w:rsidR="007C40AB" w:rsidRPr="00484C3A">
        <w:rPr>
          <w:rFonts w:cs="Calibri"/>
          <w:color w:val="000000" w:themeColor="text1"/>
          <w:lang w:eastAsia="ja-JP"/>
        </w:rPr>
        <w:t xml:space="preserve">possible </w:t>
      </w:r>
      <w:r w:rsidRPr="00484C3A">
        <w:rPr>
          <w:rFonts w:cs="Calibri"/>
          <w:color w:val="000000" w:themeColor="text1"/>
          <w:lang w:eastAsia="ja-JP"/>
        </w:rPr>
        <w:t xml:space="preserve">without the </w:t>
      </w:r>
      <w:r w:rsidR="007C40AB" w:rsidRPr="00484C3A">
        <w:rPr>
          <w:rFonts w:cs="Calibri"/>
          <w:color w:val="000000" w:themeColor="text1"/>
          <w:lang w:eastAsia="ja-JP"/>
        </w:rPr>
        <w:t xml:space="preserve">excellent </w:t>
      </w:r>
      <w:r w:rsidRPr="00484C3A">
        <w:rPr>
          <w:rFonts w:cs="Calibri"/>
          <w:color w:val="000000" w:themeColor="text1"/>
          <w:lang w:eastAsia="ja-JP"/>
        </w:rPr>
        <w:t xml:space="preserve">support </w:t>
      </w:r>
      <w:r w:rsidR="007C40AB" w:rsidRPr="00484C3A">
        <w:rPr>
          <w:rFonts w:cs="Calibri"/>
          <w:color w:val="000000" w:themeColor="text1"/>
          <w:lang w:eastAsia="ja-JP"/>
        </w:rPr>
        <w:t xml:space="preserve">and generous hospitality </w:t>
      </w:r>
      <w:r w:rsidRPr="00484C3A">
        <w:rPr>
          <w:rFonts w:cs="Calibri"/>
          <w:color w:val="000000" w:themeColor="text1"/>
          <w:lang w:eastAsia="ja-JP"/>
        </w:rPr>
        <w:t>of PACDA</w:t>
      </w:r>
      <w:r w:rsidR="007C40AB" w:rsidRPr="00484C3A">
        <w:rPr>
          <w:rFonts w:cs="Calibri"/>
          <w:color w:val="000000" w:themeColor="text1"/>
          <w:lang w:eastAsia="ja-JP"/>
        </w:rPr>
        <w:t xml:space="preserve">. The </w:t>
      </w:r>
      <w:r w:rsidRPr="00484C3A">
        <w:rPr>
          <w:rFonts w:cs="Calibri"/>
          <w:color w:val="000000" w:themeColor="text1"/>
          <w:lang w:eastAsia="ja-JP"/>
        </w:rPr>
        <w:t xml:space="preserve">TWG would like to </w:t>
      </w:r>
      <w:r w:rsidR="007C40AB" w:rsidRPr="00484C3A">
        <w:rPr>
          <w:rFonts w:cs="Calibri"/>
          <w:color w:val="000000" w:themeColor="text1"/>
          <w:lang w:eastAsia="ja-JP"/>
        </w:rPr>
        <w:t xml:space="preserve">specifically </w:t>
      </w:r>
      <w:r w:rsidRPr="00484C3A">
        <w:rPr>
          <w:rFonts w:cs="Calibri"/>
          <w:color w:val="000000" w:themeColor="text1"/>
          <w:lang w:eastAsia="ja-JP"/>
        </w:rPr>
        <w:t>express its</w:t>
      </w:r>
      <w:r w:rsidR="007C40AB" w:rsidRPr="00484C3A">
        <w:rPr>
          <w:rFonts w:cs="Calibri"/>
          <w:color w:val="000000" w:themeColor="text1"/>
          <w:lang w:eastAsia="ja-JP"/>
        </w:rPr>
        <w:t xml:space="preserve"> thanks and appreciation to MAJ GEN Abdullah Al Harthy, COL Mubarak Al Araimi, MAJ Mohammed Al Mahmoodi, LT Faisel Al Dhuhli and their support staff.</w:t>
      </w:r>
    </w:p>
    <w:p w14:paraId="53515904" w14:textId="26976440" w:rsidR="00A70035" w:rsidRPr="00484C3A" w:rsidRDefault="00A70035" w:rsidP="00361962">
      <w:pPr>
        <w:pStyle w:val="NoSpacing"/>
        <w:rPr>
          <w:rFonts w:cs="Calibri"/>
          <w:color w:val="000000" w:themeColor="text1"/>
          <w:lang w:eastAsia="ja-JP"/>
        </w:rPr>
      </w:pPr>
    </w:p>
    <w:p w14:paraId="18EDC2EB" w14:textId="48813B30" w:rsidR="007C40AB" w:rsidRPr="00484C3A" w:rsidRDefault="007C40AB" w:rsidP="00361962">
      <w:pPr>
        <w:pStyle w:val="NoSpacing"/>
        <w:rPr>
          <w:rFonts w:cs="Calibri"/>
          <w:color w:val="000000" w:themeColor="text1"/>
          <w:lang w:eastAsia="ja-JP"/>
        </w:rPr>
      </w:pPr>
      <w:r w:rsidRPr="00484C3A">
        <w:rPr>
          <w:rFonts w:cs="Calibri"/>
          <w:color w:val="000000" w:themeColor="text1"/>
          <w:lang w:eastAsia="ja-JP"/>
        </w:rPr>
        <w:t>The TWG would also like to express its appreciation to all of the participants and their respective sponsoring organisation for their valuable contributions and support.</w:t>
      </w:r>
    </w:p>
    <w:p w14:paraId="7435481A" w14:textId="3B1BF72B" w:rsidR="007C40AB" w:rsidRDefault="007C40AB" w:rsidP="00361962">
      <w:pPr>
        <w:pStyle w:val="NoSpacing"/>
        <w:rPr>
          <w:rFonts w:cs="Calibri"/>
          <w:lang w:eastAsia="ja-JP"/>
        </w:rPr>
      </w:pPr>
    </w:p>
    <w:p w14:paraId="09C955A1" w14:textId="67B269D4" w:rsidR="00ED08AD" w:rsidRPr="00594D58" w:rsidRDefault="00ED08AD" w:rsidP="007D0A49">
      <w:pPr>
        <w:pStyle w:val="NoSpacing"/>
        <w:rPr>
          <w:rFonts w:cs="Calibri"/>
          <w:sz w:val="72"/>
          <w:szCs w:val="72"/>
        </w:rPr>
      </w:pPr>
    </w:p>
    <w:sectPr w:rsidR="00ED08AD" w:rsidRPr="00594D5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C58B0" w14:textId="77777777" w:rsidR="00B264B2" w:rsidRDefault="00B264B2" w:rsidP="00F10D41">
      <w:pPr>
        <w:spacing w:after="0" w:line="240" w:lineRule="auto"/>
      </w:pPr>
      <w:r>
        <w:separator/>
      </w:r>
    </w:p>
  </w:endnote>
  <w:endnote w:type="continuationSeparator" w:id="0">
    <w:p w14:paraId="726B1C03" w14:textId="77777777" w:rsidR="00B264B2" w:rsidRDefault="00B264B2" w:rsidP="00F10D41">
      <w:pPr>
        <w:spacing w:after="0" w:line="240" w:lineRule="auto"/>
      </w:pPr>
      <w:r>
        <w:continuationSeparator/>
      </w:r>
    </w:p>
  </w:endnote>
  <w:endnote w:type="continuationNotice" w:id="1">
    <w:p w14:paraId="39706D69" w14:textId="77777777" w:rsidR="00B264B2" w:rsidRDefault="00B264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9AEC1" w14:textId="77777777" w:rsidR="00B7158D" w:rsidRDefault="00B71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B4FCC" w14:textId="77777777" w:rsidR="00B7158D" w:rsidRDefault="00B7158D">
    <w:pPr>
      <w:pStyle w:val="Footer"/>
      <w:jc w:val="center"/>
    </w:pPr>
    <w:r>
      <w:rPr>
        <w:noProof/>
        <w:lang w:val="en-US" w:eastAsia="ja-JP"/>
      </w:rPr>
      <mc:AlternateContent>
        <mc:Choice Requires="wps">
          <w:drawing>
            <wp:inline distT="0" distB="0" distL="0" distR="0" wp14:anchorId="3B7E3F2A" wp14:editId="7549FEF4">
              <wp:extent cx="5467350" cy="54610"/>
              <wp:effectExtent l="25400" t="0" r="0" b="0"/>
              <wp:docPr id="64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338A19"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" fillcolor="black">
              <v:path arrowok="t"/>
              <o:lock v:ext="edit" aspectratio="t"/>
              <w10:anchorlock/>
            </v:shape>
          </w:pict>
        </mc:Fallback>
      </mc:AlternateContent>
    </w:r>
  </w:p>
  <w:p w14:paraId="07A1149D" w14:textId="024030B3" w:rsidR="00B7158D" w:rsidRDefault="00B7158D">
    <w:pPr>
      <w:pStyle w:val="Footer"/>
      <w:jc w:val="center"/>
    </w:pPr>
    <w:r>
      <w:fldChar w:fldCharType="begin"/>
    </w:r>
    <w:r>
      <w:instrText xml:space="preserve"> PAGE    \* MERGEFORMAT </w:instrText>
    </w:r>
    <w:r>
      <w:fldChar w:fldCharType="separate"/>
    </w:r>
    <w:r w:rsidR="00493700">
      <w:rPr>
        <w:noProof/>
      </w:rPr>
      <w:t>6</w:t>
    </w:r>
    <w:r>
      <w:rPr>
        <w:noProof/>
      </w:rPr>
      <w:fldChar w:fldCharType="end"/>
    </w:r>
  </w:p>
  <w:p w14:paraId="49A073CC" w14:textId="77777777" w:rsidR="00B7158D" w:rsidRDefault="00B71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708B" w14:textId="77777777" w:rsidR="00B7158D" w:rsidRDefault="00B7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EC90" w14:textId="77777777" w:rsidR="00B264B2" w:rsidRDefault="00B264B2" w:rsidP="00F10D41">
      <w:pPr>
        <w:spacing w:after="0" w:line="240" w:lineRule="auto"/>
      </w:pPr>
      <w:r>
        <w:separator/>
      </w:r>
    </w:p>
  </w:footnote>
  <w:footnote w:type="continuationSeparator" w:id="0">
    <w:p w14:paraId="3B529B07" w14:textId="77777777" w:rsidR="00B264B2" w:rsidRDefault="00B264B2" w:rsidP="00F10D41">
      <w:pPr>
        <w:spacing w:after="0" w:line="240" w:lineRule="auto"/>
      </w:pPr>
      <w:r>
        <w:continuationSeparator/>
      </w:r>
    </w:p>
  </w:footnote>
  <w:footnote w:type="continuationNotice" w:id="1">
    <w:p w14:paraId="34B940B9" w14:textId="77777777" w:rsidR="00B264B2" w:rsidRDefault="00B264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E1F9" w14:textId="3F4DB21C" w:rsidR="00B7158D" w:rsidRDefault="00B71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6E1A" w14:textId="22B6AFB8" w:rsidR="00B7158D" w:rsidRDefault="00B71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24E10" w14:textId="6C562170" w:rsidR="00B7158D" w:rsidRDefault="00B71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928"/>
    <w:multiLevelType w:val="hybridMultilevel"/>
    <w:tmpl w:val="4C02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F537A"/>
    <w:multiLevelType w:val="hybridMultilevel"/>
    <w:tmpl w:val="8850F896"/>
    <w:lvl w:ilvl="0" w:tplc="33BC287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043B"/>
    <w:multiLevelType w:val="hybridMultilevel"/>
    <w:tmpl w:val="13448D18"/>
    <w:lvl w:ilvl="0" w:tplc="0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3826FB"/>
    <w:multiLevelType w:val="hybridMultilevel"/>
    <w:tmpl w:val="F13076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E3C32"/>
    <w:multiLevelType w:val="hybridMultilevel"/>
    <w:tmpl w:val="342830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037AA6"/>
    <w:multiLevelType w:val="hybridMultilevel"/>
    <w:tmpl w:val="366E6610"/>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10178FC"/>
    <w:multiLevelType w:val="hybridMultilevel"/>
    <w:tmpl w:val="3970E8CC"/>
    <w:lvl w:ilvl="0" w:tplc="08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0528F5"/>
    <w:multiLevelType w:val="hybridMultilevel"/>
    <w:tmpl w:val="47B2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1D2000"/>
    <w:multiLevelType w:val="hybridMultilevel"/>
    <w:tmpl w:val="D012C126"/>
    <w:lvl w:ilvl="0" w:tplc="0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037C27"/>
    <w:multiLevelType w:val="hybridMultilevel"/>
    <w:tmpl w:val="221842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9B61DFD"/>
    <w:multiLevelType w:val="hybridMultilevel"/>
    <w:tmpl w:val="4966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C01F62"/>
    <w:multiLevelType w:val="hybridMultilevel"/>
    <w:tmpl w:val="783AB070"/>
    <w:lvl w:ilvl="0" w:tplc="08090001">
      <w:start w:val="1"/>
      <w:numFmt w:val="bullet"/>
      <w:lvlText w:val=""/>
      <w:lvlJc w:val="left"/>
      <w:pPr>
        <w:ind w:left="1126" w:hanging="360"/>
      </w:pPr>
      <w:rPr>
        <w:rFonts w:ascii="Symbol" w:hAnsi="Symbol" w:hint="default"/>
      </w:rPr>
    </w:lvl>
    <w:lvl w:ilvl="1" w:tplc="08090003" w:tentative="1">
      <w:start w:val="1"/>
      <w:numFmt w:val="bullet"/>
      <w:lvlText w:val="o"/>
      <w:lvlJc w:val="left"/>
      <w:pPr>
        <w:ind w:left="1846" w:hanging="360"/>
      </w:pPr>
      <w:rPr>
        <w:rFonts w:ascii="Courier New" w:hAnsi="Courier New" w:cs="Courier New" w:hint="default"/>
      </w:rPr>
    </w:lvl>
    <w:lvl w:ilvl="2" w:tplc="08090005" w:tentative="1">
      <w:start w:val="1"/>
      <w:numFmt w:val="bullet"/>
      <w:lvlText w:val=""/>
      <w:lvlJc w:val="left"/>
      <w:pPr>
        <w:ind w:left="2566" w:hanging="360"/>
      </w:pPr>
      <w:rPr>
        <w:rFonts w:ascii="Wingdings" w:hAnsi="Wingdings" w:hint="default"/>
      </w:rPr>
    </w:lvl>
    <w:lvl w:ilvl="3" w:tplc="08090001" w:tentative="1">
      <w:start w:val="1"/>
      <w:numFmt w:val="bullet"/>
      <w:lvlText w:val=""/>
      <w:lvlJc w:val="left"/>
      <w:pPr>
        <w:ind w:left="3286" w:hanging="360"/>
      </w:pPr>
      <w:rPr>
        <w:rFonts w:ascii="Symbol" w:hAnsi="Symbol" w:hint="default"/>
      </w:rPr>
    </w:lvl>
    <w:lvl w:ilvl="4" w:tplc="08090003" w:tentative="1">
      <w:start w:val="1"/>
      <w:numFmt w:val="bullet"/>
      <w:lvlText w:val="o"/>
      <w:lvlJc w:val="left"/>
      <w:pPr>
        <w:ind w:left="4006" w:hanging="360"/>
      </w:pPr>
      <w:rPr>
        <w:rFonts w:ascii="Courier New" w:hAnsi="Courier New" w:cs="Courier New" w:hint="default"/>
      </w:rPr>
    </w:lvl>
    <w:lvl w:ilvl="5" w:tplc="08090005" w:tentative="1">
      <w:start w:val="1"/>
      <w:numFmt w:val="bullet"/>
      <w:lvlText w:val=""/>
      <w:lvlJc w:val="left"/>
      <w:pPr>
        <w:ind w:left="4726" w:hanging="360"/>
      </w:pPr>
      <w:rPr>
        <w:rFonts w:ascii="Wingdings" w:hAnsi="Wingdings" w:hint="default"/>
      </w:rPr>
    </w:lvl>
    <w:lvl w:ilvl="6" w:tplc="08090001" w:tentative="1">
      <w:start w:val="1"/>
      <w:numFmt w:val="bullet"/>
      <w:lvlText w:val=""/>
      <w:lvlJc w:val="left"/>
      <w:pPr>
        <w:ind w:left="5446" w:hanging="360"/>
      </w:pPr>
      <w:rPr>
        <w:rFonts w:ascii="Symbol" w:hAnsi="Symbol" w:hint="default"/>
      </w:rPr>
    </w:lvl>
    <w:lvl w:ilvl="7" w:tplc="08090003" w:tentative="1">
      <w:start w:val="1"/>
      <w:numFmt w:val="bullet"/>
      <w:lvlText w:val="o"/>
      <w:lvlJc w:val="left"/>
      <w:pPr>
        <w:ind w:left="6166" w:hanging="360"/>
      </w:pPr>
      <w:rPr>
        <w:rFonts w:ascii="Courier New" w:hAnsi="Courier New" w:cs="Courier New" w:hint="default"/>
      </w:rPr>
    </w:lvl>
    <w:lvl w:ilvl="8" w:tplc="08090005" w:tentative="1">
      <w:start w:val="1"/>
      <w:numFmt w:val="bullet"/>
      <w:lvlText w:val=""/>
      <w:lvlJc w:val="left"/>
      <w:pPr>
        <w:ind w:left="6886" w:hanging="360"/>
      </w:pPr>
      <w:rPr>
        <w:rFonts w:ascii="Wingdings" w:hAnsi="Wingdings" w:hint="default"/>
      </w:rPr>
    </w:lvl>
  </w:abstractNum>
  <w:abstractNum w:abstractNumId="12" w15:restartNumberingAfterBreak="0">
    <w:nsid w:val="1AD0620E"/>
    <w:multiLevelType w:val="hybridMultilevel"/>
    <w:tmpl w:val="FA703CFA"/>
    <w:lvl w:ilvl="0" w:tplc="FFFFFFFF">
      <w:start w:val="2018"/>
      <w:numFmt w:val="decimal"/>
      <w:lvlText w:val="%1"/>
      <w:lvlJc w:val="left"/>
      <w:pPr>
        <w:ind w:left="840" w:hanging="48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AE592F"/>
    <w:multiLevelType w:val="hybridMultilevel"/>
    <w:tmpl w:val="6848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5C772A"/>
    <w:multiLevelType w:val="hybridMultilevel"/>
    <w:tmpl w:val="54221196"/>
    <w:lvl w:ilvl="0" w:tplc="33BC2876">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D97CE1"/>
    <w:multiLevelType w:val="hybridMultilevel"/>
    <w:tmpl w:val="3DF0736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9155136"/>
    <w:multiLevelType w:val="hybridMultilevel"/>
    <w:tmpl w:val="CAC0A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6A09C3"/>
    <w:multiLevelType w:val="hybridMultilevel"/>
    <w:tmpl w:val="4CBE967E"/>
    <w:lvl w:ilvl="0" w:tplc="33BC287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50740"/>
    <w:multiLevelType w:val="hybridMultilevel"/>
    <w:tmpl w:val="816EF8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DD0D65"/>
    <w:multiLevelType w:val="hybridMultilevel"/>
    <w:tmpl w:val="275C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7972B0"/>
    <w:multiLevelType w:val="hybridMultilevel"/>
    <w:tmpl w:val="37284556"/>
    <w:lvl w:ilvl="0" w:tplc="08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7749B9"/>
    <w:multiLevelType w:val="hybridMultilevel"/>
    <w:tmpl w:val="EEDADA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237536"/>
    <w:multiLevelType w:val="hybridMultilevel"/>
    <w:tmpl w:val="EE7837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A820D6"/>
    <w:multiLevelType w:val="hybridMultilevel"/>
    <w:tmpl w:val="DD58F9F8"/>
    <w:lvl w:ilvl="0" w:tplc="33BC287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602ED2"/>
    <w:multiLevelType w:val="hybridMultilevel"/>
    <w:tmpl w:val="F468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4533C9"/>
    <w:multiLevelType w:val="hybridMultilevel"/>
    <w:tmpl w:val="DD0A7E46"/>
    <w:lvl w:ilvl="0" w:tplc="33BC2876">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0DF39C6"/>
    <w:multiLevelType w:val="hybridMultilevel"/>
    <w:tmpl w:val="AAC49E7E"/>
    <w:lvl w:ilvl="0" w:tplc="93F4A692">
      <w:start w:val="24"/>
      <w:numFmt w:val="bullet"/>
      <w:lvlText w:val="-"/>
      <w:lvlJc w:val="left"/>
      <w:pPr>
        <w:ind w:left="720" w:hanging="360"/>
      </w:pPr>
      <w:rPr>
        <w:rFonts w:ascii="Calibri" w:eastAsia="Calibr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B977FB"/>
    <w:multiLevelType w:val="hybridMultilevel"/>
    <w:tmpl w:val="4FDE4A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9E32751"/>
    <w:multiLevelType w:val="hybridMultilevel"/>
    <w:tmpl w:val="F496C0E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2E7247"/>
    <w:multiLevelType w:val="hybridMultilevel"/>
    <w:tmpl w:val="9E04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A371E7"/>
    <w:multiLevelType w:val="hybridMultilevel"/>
    <w:tmpl w:val="1082AC1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67618A"/>
    <w:multiLevelType w:val="hybridMultilevel"/>
    <w:tmpl w:val="579C7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CF7D4D"/>
    <w:multiLevelType w:val="hybridMultilevel"/>
    <w:tmpl w:val="8B142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B92486"/>
    <w:multiLevelType w:val="hybridMultilevel"/>
    <w:tmpl w:val="F20096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E85456E"/>
    <w:multiLevelType w:val="hybridMultilevel"/>
    <w:tmpl w:val="C5B09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C519B4"/>
    <w:multiLevelType w:val="hybridMultilevel"/>
    <w:tmpl w:val="95322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E3241D"/>
    <w:multiLevelType w:val="hybridMultilevel"/>
    <w:tmpl w:val="25268482"/>
    <w:lvl w:ilvl="0" w:tplc="08090001">
      <w:start w:val="1"/>
      <w:numFmt w:val="bullet"/>
      <w:lvlText w:val=""/>
      <w:lvlJc w:val="left"/>
      <w:pPr>
        <w:ind w:left="720" w:hanging="360"/>
      </w:pPr>
      <w:rPr>
        <w:rFonts w:ascii="Symbol" w:hAnsi="Symbol" w:hint="default"/>
      </w:rPr>
    </w:lvl>
    <w:lvl w:ilvl="1" w:tplc="33BC287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A919E6"/>
    <w:multiLevelType w:val="hybridMultilevel"/>
    <w:tmpl w:val="5F3C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11"/>
  </w:num>
  <w:num w:numId="4">
    <w:abstractNumId w:val="37"/>
  </w:num>
  <w:num w:numId="5">
    <w:abstractNumId w:val="13"/>
  </w:num>
  <w:num w:numId="6">
    <w:abstractNumId w:val="12"/>
  </w:num>
  <w:num w:numId="7">
    <w:abstractNumId w:val="35"/>
  </w:num>
  <w:num w:numId="8">
    <w:abstractNumId w:val="6"/>
  </w:num>
  <w:num w:numId="9">
    <w:abstractNumId w:val="34"/>
  </w:num>
  <w:num w:numId="10">
    <w:abstractNumId w:val="1"/>
  </w:num>
  <w:num w:numId="11">
    <w:abstractNumId w:val="7"/>
  </w:num>
  <w:num w:numId="12">
    <w:abstractNumId w:val="0"/>
  </w:num>
  <w:num w:numId="13">
    <w:abstractNumId w:val="27"/>
  </w:num>
  <w:num w:numId="14">
    <w:abstractNumId w:val="29"/>
  </w:num>
  <w:num w:numId="15">
    <w:abstractNumId w:val="24"/>
  </w:num>
  <w:num w:numId="16">
    <w:abstractNumId w:val="14"/>
  </w:num>
  <w:num w:numId="17">
    <w:abstractNumId w:val="25"/>
  </w:num>
  <w:num w:numId="18">
    <w:abstractNumId w:val="36"/>
  </w:num>
  <w:num w:numId="19">
    <w:abstractNumId w:val="23"/>
  </w:num>
  <w:num w:numId="20">
    <w:abstractNumId w:val="17"/>
  </w:num>
  <w:num w:numId="21">
    <w:abstractNumId w:val="33"/>
  </w:num>
  <w:num w:numId="22">
    <w:abstractNumId w:val="2"/>
  </w:num>
  <w:num w:numId="23">
    <w:abstractNumId w:val="8"/>
  </w:num>
  <w:num w:numId="24">
    <w:abstractNumId w:val="20"/>
  </w:num>
  <w:num w:numId="25">
    <w:abstractNumId w:val="16"/>
  </w:num>
  <w:num w:numId="26">
    <w:abstractNumId w:val="21"/>
  </w:num>
  <w:num w:numId="27">
    <w:abstractNumId w:val="4"/>
  </w:num>
  <w:num w:numId="28">
    <w:abstractNumId w:val="22"/>
  </w:num>
  <w:num w:numId="29">
    <w:abstractNumId w:val="30"/>
  </w:num>
  <w:num w:numId="30">
    <w:abstractNumId w:val="15"/>
  </w:num>
  <w:num w:numId="31">
    <w:abstractNumId w:val="18"/>
  </w:num>
  <w:num w:numId="32">
    <w:abstractNumId w:val="19"/>
  </w:num>
  <w:num w:numId="33">
    <w:abstractNumId w:val="9"/>
  </w:num>
  <w:num w:numId="34">
    <w:abstractNumId w:val="28"/>
  </w:num>
  <w:num w:numId="35">
    <w:abstractNumId w:val="5"/>
  </w:num>
  <w:num w:numId="36">
    <w:abstractNumId w:val="32"/>
  </w:num>
  <w:num w:numId="37">
    <w:abstractNumId w:val="1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867"/>
    <w:rsid w:val="00002FF6"/>
    <w:rsid w:val="00012B85"/>
    <w:rsid w:val="00013FFE"/>
    <w:rsid w:val="0001568C"/>
    <w:rsid w:val="00022875"/>
    <w:rsid w:val="00024793"/>
    <w:rsid w:val="00026F16"/>
    <w:rsid w:val="000274C1"/>
    <w:rsid w:val="0004370E"/>
    <w:rsid w:val="00044DD4"/>
    <w:rsid w:val="00045052"/>
    <w:rsid w:val="000455E2"/>
    <w:rsid w:val="00046A02"/>
    <w:rsid w:val="00050409"/>
    <w:rsid w:val="00050CB6"/>
    <w:rsid w:val="00050D37"/>
    <w:rsid w:val="0006060D"/>
    <w:rsid w:val="00075B80"/>
    <w:rsid w:val="00076AFB"/>
    <w:rsid w:val="000825DC"/>
    <w:rsid w:val="00085E0E"/>
    <w:rsid w:val="00096AEB"/>
    <w:rsid w:val="000B3B88"/>
    <w:rsid w:val="000B47A3"/>
    <w:rsid w:val="000B5927"/>
    <w:rsid w:val="000C3CCC"/>
    <w:rsid w:val="000D24A8"/>
    <w:rsid w:val="000E4C52"/>
    <w:rsid w:val="001013A3"/>
    <w:rsid w:val="0011283A"/>
    <w:rsid w:val="00112AE5"/>
    <w:rsid w:val="00113175"/>
    <w:rsid w:val="00113415"/>
    <w:rsid w:val="00113A03"/>
    <w:rsid w:val="0011481E"/>
    <w:rsid w:val="0011681D"/>
    <w:rsid w:val="00121882"/>
    <w:rsid w:val="00123FFA"/>
    <w:rsid w:val="00124D95"/>
    <w:rsid w:val="001252F7"/>
    <w:rsid w:val="00141F09"/>
    <w:rsid w:val="00145726"/>
    <w:rsid w:val="00147C6C"/>
    <w:rsid w:val="00150E1C"/>
    <w:rsid w:val="001523A2"/>
    <w:rsid w:val="00154D4D"/>
    <w:rsid w:val="001566D6"/>
    <w:rsid w:val="00161979"/>
    <w:rsid w:val="00163EC2"/>
    <w:rsid w:val="0016497F"/>
    <w:rsid w:val="00171BE5"/>
    <w:rsid w:val="00175D01"/>
    <w:rsid w:val="001818D3"/>
    <w:rsid w:val="00182CC2"/>
    <w:rsid w:val="00187183"/>
    <w:rsid w:val="00194507"/>
    <w:rsid w:val="001A363B"/>
    <w:rsid w:val="001A524E"/>
    <w:rsid w:val="001A5A55"/>
    <w:rsid w:val="001B1CA6"/>
    <w:rsid w:val="001B30BC"/>
    <w:rsid w:val="001B470A"/>
    <w:rsid w:val="001B504A"/>
    <w:rsid w:val="001B6FDC"/>
    <w:rsid w:val="001C3649"/>
    <w:rsid w:val="001D0DD5"/>
    <w:rsid w:val="001D2422"/>
    <w:rsid w:val="001D24A0"/>
    <w:rsid w:val="001D2AFF"/>
    <w:rsid w:val="001D3608"/>
    <w:rsid w:val="001D6A30"/>
    <w:rsid w:val="001D72D0"/>
    <w:rsid w:val="001E1047"/>
    <w:rsid w:val="001E169B"/>
    <w:rsid w:val="001E46D0"/>
    <w:rsid w:val="001E67C4"/>
    <w:rsid w:val="00201C50"/>
    <w:rsid w:val="00206C06"/>
    <w:rsid w:val="00212B6D"/>
    <w:rsid w:val="0021658B"/>
    <w:rsid w:val="002171A5"/>
    <w:rsid w:val="00221B4C"/>
    <w:rsid w:val="002254EF"/>
    <w:rsid w:val="00227764"/>
    <w:rsid w:val="00236AE1"/>
    <w:rsid w:val="002402A1"/>
    <w:rsid w:val="002415B0"/>
    <w:rsid w:val="00246915"/>
    <w:rsid w:val="00247587"/>
    <w:rsid w:val="00250AD7"/>
    <w:rsid w:val="00252CDE"/>
    <w:rsid w:val="00266BDC"/>
    <w:rsid w:val="00267D1F"/>
    <w:rsid w:val="00271B5F"/>
    <w:rsid w:val="002755D0"/>
    <w:rsid w:val="002922F3"/>
    <w:rsid w:val="00296DF6"/>
    <w:rsid w:val="002B061A"/>
    <w:rsid w:val="002B0850"/>
    <w:rsid w:val="002B27CF"/>
    <w:rsid w:val="002B5E9D"/>
    <w:rsid w:val="002B6619"/>
    <w:rsid w:val="002B7CBC"/>
    <w:rsid w:val="002D01C2"/>
    <w:rsid w:val="002D69FD"/>
    <w:rsid w:val="002E5AED"/>
    <w:rsid w:val="002F3BE9"/>
    <w:rsid w:val="002F6DCF"/>
    <w:rsid w:val="00311C11"/>
    <w:rsid w:val="003253CC"/>
    <w:rsid w:val="00327789"/>
    <w:rsid w:val="00336D5B"/>
    <w:rsid w:val="00343D24"/>
    <w:rsid w:val="00345D65"/>
    <w:rsid w:val="00347DBE"/>
    <w:rsid w:val="00361962"/>
    <w:rsid w:val="00367CBE"/>
    <w:rsid w:val="00371A24"/>
    <w:rsid w:val="00382709"/>
    <w:rsid w:val="00385EE8"/>
    <w:rsid w:val="00387EE8"/>
    <w:rsid w:val="00395EFD"/>
    <w:rsid w:val="00397F80"/>
    <w:rsid w:val="003B308B"/>
    <w:rsid w:val="003B34D6"/>
    <w:rsid w:val="003C1BF4"/>
    <w:rsid w:val="003D081D"/>
    <w:rsid w:val="003D76EC"/>
    <w:rsid w:val="003E0F69"/>
    <w:rsid w:val="003E2AE8"/>
    <w:rsid w:val="003E3E4A"/>
    <w:rsid w:val="003E6445"/>
    <w:rsid w:val="003E7C52"/>
    <w:rsid w:val="003F0261"/>
    <w:rsid w:val="003F3254"/>
    <w:rsid w:val="003F69DB"/>
    <w:rsid w:val="00405B72"/>
    <w:rsid w:val="00405F5D"/>
    <w:rsid w:val="00406D93"/>
    <w:rsid w:val="0040712B"/>
    <w:rsid w:val="0040764D"/>
    <w:rsid w:val="0042448F"/>
    <w:rsid w:val="004342B2"/>
    <w:rsid w:val="00437411"/>
    <w:rsid w:val="00437E68"/>
    <w:rsid w:val="004479C5"/>
    <w:rsid w:val="00447CDA"/>
    <w:rsid w:val="00457484"/>
    <w:rsid w:val="00461432"/>
    <w:rsid w:val="004616EE"/>
    <w:rsid w:val="00473578"/>
    <w:rsid w:val="004750D1"/>
    <w:rsid w:val="00476EAF"/>
    <w:rsid w:val="00484C3A"/>
    <w:rsid w:val="00490898"/>
    <w:rsid w:val="004929DE"/>
    <w:rsid w:val="00493700"/>
    <w:rsid w:val="00493F58"/>
    <w:rsid w:val="004A1E52"/>
    <w:rsid w:val="004A7AF8"/>
    <w:rsid w:val="004B5B50"/>
    <w:rsid w:val="004B77AE"/>
    <w:rsid w:val="004C07ED"/>
    <w:rsid w:val="004C33CA"/>
    <w:rsid w:val="004C3B4E"/>
    <w:rsid w:val="004C75A1"/>
    <w:rsid w:val="004D1B45"/>
    <w:rsid w:val="004D1B4D"/>
    <w:rsid w:val="004D1FC6"/>
    <w:rsid w:val="004F5CCE"/>
    <w:rsid w:val="004F6127"/>
    <w:rsid w:val="004F6842"/>
    <w:rsid w:val="00503359"/>
    <w:rsid w:val="00504306"/>
    <w:rsid w:val="0050515C"/>
    <w:rsid w:val="00520D7F"/>
    <w:rsid w:val="00521091"/>
    <w:rsid w:val="005246AF"/>
    <w:rsid w:val="005319F8"/>
    <w:rsid w:val="005348F6"/>
    <w:rsid w:val="00535293"/>
    <w:rsid w:val="00535692"/>
    <w:rsid w:val="00540C2C"/>
    <w:rsid w:val="00540C5A"/>
    <w:rsid w:val="00555E07"/>
    <w:rsid w:val="00557BD3"/>
    <w:rsid w:val="0056388E"/>
    <w:rsid w:val="00573B2E"/>
    <w:rsid w:val="00577CB9"/>
    <w:rsid w:val="00582FBD"/>
    <w:rsid w:val="0058308E"/>
    <w:rsid w:val="00584732"/>
    <w:rsid w:val="00587CE3"/>
    <w:rsid w:val="00592469"/>
    <w:rsid w:val="00592AFD"/>
    <w:rsid w:val="00594D58"/>
    <w:rsid w:val="00597837"/>
    <w:rsid w:val="005A1306"/>
    <w:rsid w:val="005A4C9B"/>
    <w:rsid w:val="005A6212"/>
    <w:rsid w:val="005B227C"/>
    <w:rsid w:val="005B35C4"/>
    <w:rsid w:val="005B37DF"/>
    <w:rsid w:val="005B3F88"/>
    <w:rsid w:val="005B4C7E"/>
    <w:rsid w:val="005C1DC9"/>
    <w:rsid w:val="005D2C02"/>
    <w:rsid w:val="005D482E"/>
    <w:rsid w:val="005E3224"/>
    <w:rsid w:val="005E5B8F"/>
    <w:rsid w:val="005E5B94"/>
    <w:rsid w:val="005E6AD5"/>
    <w:rsid w:val="005E7B19"/>
    <w:rsid w:val="005E7DA7"/>
    <w:rsid w:val="005F052D"/>
    <w:rsid w:val="005F2614"/>
    <w:rsid w:val="005F6CB1"/>
    <w:rsid w:val="00601C9A"/>
    <w:rsid w:val="0060751C"/>
    <w:rsid w:val="006102C4"/>
    <w:rsid w:val="0061077F"/>
    <w:rsid w:val="00610D57"/>
    <w:rsid w:val="00611F0C"/>
    <w:rsid w:val="00616AE7"/>
    <w:rsid w:val="00617F8D"/>
    <w:rsid w:val="006328E5"/>
    <w:rsid w:val="00642DC8"/>
    <w:rsid w:val="00646540"/>
    <w:rsid w:val="006467EF"/>
    <w:rsid w:val="00653687"/>
    <w:rsid w:val="00657786"/>
    <w:rsid w:val="00657DF2"/>
    <w:rsid w:val="006614D0"/>
    <w:rsid w:val="00662F2E"/>
    <w:rsid w:val="00667401"/>
    <w:rsid w:val="00667B18"/>
    <w:rsid w:val="00673837"/>
    <w:rsid w:val="00677EFC"/>
    <w:rsid w:val="00680B45"/>
    <w:rsid w:val="00680E46"/>
    <w:rsid w:val="006818A4"/>
    <w:rsid w:val="00685602"/>
    <w:rsid w:val="006858D0"/>
    <w:rsid w:val="006B58A4"/>
    <w:rsid w:val="006B7F18"/>
    <w:rsid w:val="006D2E5E"/>
    <w:rsid w:val="006D3296"/>
    <w:rsid w:val="006D78F0"/>
    <w:rsid w:val="006E363D"/>
    <w:rsid w:val="006E63AA"/>
    <w:rsid w:val="006F07B8"/>
    <w:rsid w:val="00700CB6"/>
    <w:rsid w:val="007053A0"/>
    <w:rsid w:val="0071097A"/>
    <w:rsid w:val="0071344D"/>
    <w:rsid w:val="007157F1"/>
    <w:rsid w:val="00715B94"/>
    <w:rsid w:val="00720EBA"/>
    <w:rsid w:val="00725D3F"/>
    <w:rsid w:val="00743951"/>
    <w:rsid w:val="00743969"/>
    <w:rsid w:val="007573A5"/>
    <w:rsid w:val="00757DD2"/>
    <w:rsid w:val="00764D29"/>
    <w:rsid w:val="00765C43"/>
    <w:rsid w:val="00766BC0"/>
    <w:rsid w:val="00766FD7"/>
    <w:rsid w:val="00770DC5"/>
    <w:rsid w:val="00782777"/>
    <w:rsid w:val="00783D10"/>
    <w:rsid w:val="007848A7"/>
    <w:rsid w:val="0078535A"/>
    <w:rsid w:val="00786E9A"/>
    <w:rsid w:val="0079272F"/>
    <w:rsid w:val="007932A8"/>
    <w:rsid w:val="007954C0"/>
    <w:rsid w:val="007A0D1A"/>
    <w:rsid w:val="007A60A0"/>
    <w:rsid w:val="007A687E"/>
    <w:rsid w:val="007B03B6"/>
    <w:rsid w:val="007B0D20"/>
    <w:rsid w:val="007B0D3D"/>
    <w:rsid w:val="007B2074"/>
    <w:rsid w:val="007B3BA3"/>
    <w:rsid w:val="007B54C6"/>
    <w:rsid w:val="007C40AB"/>
    <w:rsid w:val="007D02DD"/>
    <w:rsid w:val="007D0A49"/>
    <w:rsid w:val="007D299A"/>
    <w:rsid w:val="007D40CC"/>
    <w:rsid w:val="007E1FB9"/>
    <w:rsid w:val="007F3A73"/>
    <w:rsid w:val="007F5399"/>
    <w:rsid w:val="00807225"/>
    <w:rsid w:val="00812F6B"/>
    <w:rsid w:val="0081433C"/>
    <w:rsid w:val="00816621"/>
    <w:rsid w:val="00821385"/>
    <w:rsid w:val="008215FB"/>
    <w:rsid w:val="008245F7"/>
    <w:rsid w:val="00826466"/>
    <w:rsid w:val="00827883"/>
    <w:rsid w:val="00831A72"/>
    <w:rsid w:val="00834622"/>
    <w:rsid w:val="00835DA2"/>
    <w:rsid w:val="00836986"/>
    <w:rsid w:val="0084042F"/>
    <w:rsid w:val="008435F5"/>
    <w:rsid w:val="0085406F"/>
    <w:rsid w:val="00862DDA"/>
    <w:rsid w:val="00873437"/>
    <w:rsid w:val="00874B93"/>
    <w:rsid w:val="00875BFD"/>
    <w:rsid w:val="00880068"/>
    <w:rsid w:val="008830F0"/>
    <w:rsid w:val="008833BD"/>
    <w:rsid w:val="008916F0"/>
    <w:rsid w:val="00893719"/>
    <w:rsid w:val="00896B61"/>
    <w:rsid w:val="00896B95"/>
    <w:rsid w:val="008A5628"/>
    <w:rsid w:val="008A6FA0"/>
    <w:rsid w:val="008A7116"/>
    <w:rsid w:val="008B2B1F"/>
    <w:rsid w:val="008B74C2"/>
    <w:rsid w:val="008D04CA"/>
    <w:rsid w:val="008D06F1"/>
    <w:rsid w:val="008D1571"/>
    <w:rsid w:val="008E162A"/>
    <w:rsid w:val="008E1E3A"/>
    <w:rsid w:val="008E2199"/>
    <w:rsid w:val="008E2583"/>
    <w:rsid w:val="008E61A4"/>
    <w:rsid w:val="008E636B"/>
    <w:rsid w:val="008F705F"/>
    <w:rsid w:val="009008EE"/>
    <w:rsid w:val="00921D91"/>
    <w:rsid w:val="00922D62"/>
    <w:rsid w:val="00923A14"/>
    <w:rsid w:val="0092548D"/>
    <w:rsid w:val="009279FB"/>
    <w:rsid w:val="00934BAC"/>
    <w:rsid w:val="00937CF1"/>
    <w:rsid w:val="00944AC9"/>
    <w:rsid w:val="009461A0"/>
    <w:rsid w:val="009502B2"/>
    <w:rsid w:val="0095428B"/>
    <w:rsid w:val="009548F4"/>
    <w:rsid w:val="0096124B"/>
    <w:rsid w:val="00961D78"/>
    <w:rsid w:val="0096488B"/>
    <w:rsid w:val="00966A3C"/>
    <w:rsid w:val="0096776A"/>
    <w:rsid w:val="009705AD"/>
    <w:rsid w:val="00971C02"/>
    <w:rsid w:val="009773DB"/>
    <w:rsid w:val="00977ECC"/>
    <w:rsid w:val="00992795"/>
    <w:rsid w:val="00996F2C"/>
    <w:rsid w:val="009A0A87"/>
    <w:rsid w:val="009A55B6"/>
    <w:rsid w:val="009A6F32"/>
    <w:rsid w:val="009B2354"/>
    <w:rsid w:val="009B3E35"/>
    <w:rsid w:val="009B4227"/>
    <w:rsid w:val="009B6C81"/>
    <w:rsid w:val="009B75C1"/>
    <w:rsid w:val="009C2345"/>
    <w:rsid w:val="009C3282"/>
    <w:rsid w:val="009D0ABD"/>
    <w:rsid w:val="009D1EEF"/>
    <w:rsid w:val="009D62FE"/>
    <w:rsid w:val="009D78E9"/>
    <w:rsid w:val="009E4C64"/>
    <w:rsid w:val="009F7BFB"/>
    <w:rsid w:val="00A05F59"/>
    <w:rsid w:val="00A206B0"/>
    <w:rsid w:val="00A20F63"/>
    <w:rsid w:val="00A254C5"/>
    <w:rsid w:val="00A2732A"/>
    <w:rsid w:val="00A33930"/>
    <w:rsid w:val="00A35319"/>
    <w:rsid w:val="00A35452"/>
    <w:rsid w:val="00A37403"/>
    <w:rsid w:val="00A406D0"/>
    <w:rsid w:val="00A4269F"/>
    <w:rsid w:val="00A45C91"/>
    <w:rsid w:val="00A5122F"/>
    <w:rsid w:val="00A535CD"/>
    <w:rsid w:val="00A54935"/>
    <w:rsid w:val="00A65912"/>
    <w:rsid w:val="00A660EA"/>
    <w:rsid w:val="00A70035"/>
    <w:rsid w:val="00A7539C"/>
    <w:rsid w:val="00A8255F"/>
    <w:rsid w:val="00A86598"/>
    <w:rsid w:val="00A951AD"/>
    <w:rsid w:val="00AA3A55"/>
    <w:rsid w:val="00AA401B"/>
    <w:rsid w:val="00AB6253"/>
    <w:rsid w:val="00AB7964"/>
    <w:rsid w:val="00AC2406"/>
    <w:rsid w:val="00AC2CD0"/>
    <w:rsid w:val="00AC6D4C"/>
    <w:rsid w:val="00AD106B"/>
    <w:rsid w:val="00AD119E"/>
    <w:rsid w:val="00AD326C"/>
    <w:rsid w:val="00AD3616"/>
    <w:rsid w:val="00AD58E7"/>
    <w:rsid w:val="00AE133E"/>
    <w:rsid w:val="00AE6B28"/>
    <w:rsid w:val="00AF5E03"/>
    <w:rsid w:val="00B10B4D"/>
    <w:rsid w:val="00B24A71"/>
    <w:rsid w:val="00B251DE"/>
    <w:rsid w:val="00B25D40"/>
    <w:rsid w:val="00B264B2"/>
    <w:rsid w:val="00B30197"/>
    <w:rsid w:val="00B3160D"/>
    <w:rsid w:val="00B32C04"/>
    <w:rsid w:val="00B34740"/>
    <w:rsid w:val="00B34A90"/>
    <w:rsid w:val="00B504A0"/>
    <w:rsid w:val="00B51FE6"/>
    <w:rsid w:val="00B537DA"/>
    <w:rsid w:val="00B551A1"/>
    <w:rsid w:val="00B60A54"/>
    <w:rsid w:val="00B65C99"/>
    <w:rsid w:val="00B65CBC"/>
    <w:rsid w:val="00B7158D"/>
    <w:rsid w:val="00B76F46"/>
    <w:rsid w:val="00B7742A"/>
    <w:rsid w:val="00B80582"/>
    <w:rsid w:val="00B810C3"/>
    <w:rsid w:val="00B82C6A"/>
    <w:rsid w:val="00BA456B"/>
    <w:rsid w:val="00BB1198"/>
    <w:rsid w:val="00BB444F"/>
    <w:rsid w:val="00BC12CB"/>
    <w:rsid w:val="00BD10D0"/>
    <w:rsid w:val="00BD1435"/>
    <w:rsid w:val="00BD2B99"/>
    <w:rsid w:val="00BE0F13"/>
    <w:rsid w:val="00BE4CB6"/>
    <w:rsid w:val="00BE5405"/>
    <w:rsid w:val="00BE5DA5"/>
    <w:rsid w:val="00C0054C"/>
    <w:rsid w:val="00C032F2"/>
    <w:rsid w:val="00C0470E"/>
    <w:rsid w:val="00C07628"/>
    <w:rsid w:val="00C11647"/>
    <w:rsid w:val="00C22EA2"/>
    <w:rsid w:val="00C25222"/>
    <w:rsid w:val="00C26F7D"/>
    <w:rsid w:val="00C34DD0"/>
    <w:rsid w:val="00C42147"/>
    <w:rsid w:val="00C46181"/>
    <w:rsid w:val="00C5068D"/>
    <w:rsid w:val="00C53480"/>
    <w:rsid w:val="00C57946"/>
    <w:rsid w:val="00C772D9"/>
    <w:rsid w:val="00C82924"/>
    <w:rsid w:val="00C83802"/>
    <w:rsid w:val="00C85241"/>
    <w:rsid w:val="00C92628"/>
    <w:rsid w:val="00C9352D"/>
    <w:rsid w:val="00C93AEB"/>
    <w:rsid w:val="00C94904"/>
    <w:rsid w:val="00CA3C90"/>
    <w:rsid w:val="00CB0155"/>
    <w:rsid w:val="00CB02F4"/>
    <w:rsid w:val="00CB07E6"/>
    <w:rsid w:val="00CB1DEE"/>
    <w:rsid w:val="00CD11CD"/>
    <w:rsid w:val="00CD12A5"/>
    <w:rsid w:val="00CD2DF1"/>
    <w:rsid w:val="00CD4D2B"/>
    <w:rsid w:val="00CE2A2E"/>
    <w:rsid w:val="00CE481B"/>
    <w:rsid w:val="00CE56DD"/>
    <w:rsid w:val="00CF0270"/>
    <w:rsid w:val="00D13FD3"/>
    <w:rsid w:val="00D15025"/>
    <w:rsid w:val="00D166FF"/>
    <w:rsid w:val="00D169BD"/>
    <w:rsid w:val="00D21BA7"/>
    <w:rsid w:val="00D24488"/>
    <w:rsid w:val="00D35059"/>
    <w:rsid w:val="00D412C3"/>
    <w:rsid w:val="00D41867"/>
    <w:rsid w:val="00D41CFD"/>
    <w:rsid w:val="00D513A9"/>
    <w:rsid w:val="00D604EF"/>
    <w:rsid w:val="00D60A6D"/>
    <w:rsid w:val="00D60F59"/>
    <w:rsid w:val="00D63348"/>
    <w:rsid w:val="00D74C63"/>
    <w:rsid w:val="00D93BA2"/>
    <w:rsid w:val="00D95D82"/>
    <w:rsid w:val="00DA0AC3"/>
    <w:rsid w:val="00DB2DCD"/>
    <w:rsid w:val="00DC3075"/>
    <w:rsid w:val="00DC43E5"/>
    <w:rsid w:val="00DC6593"/>
    <w:rsid w:val="00DC74B7"/>
    <w:rsid w:val="00DD2E54"/>
    <w:rsid w:val="00DD3421"/>
    <w:rsid w:val="00DD6F36"/>
    <w:rsid w:val="00DE613A"/>
    <w:rsid w:val="00DF6965"/>
    <w:rsid w:val="00E01BFA"/>
    <w:rsid w:val="00E06F65"/>
    <w:rsid w:val="00E206DE"/>
    <w:rsid w:val="00E23CB5"/>
    <w:rsid w:val="00E24567"/>
    <w:rsid w:val="00E3613F"/>
    <w:rsid w:val="00E414C1"/>
    <w:rsid w:val="00E455C1"/>
    <w:rsid w:val="00E4731B"/>
    <w:rsid w:val="00E4738C"/>
    <w:rsid w:val="00E50D4A"/>
    <w:rsid w:val="00E5619B"/>
    <w:rsid w:val="00E566AE"/>
    <w:rsid w:val="00E64665"/>
    <w:rsid w:val="00E71AE8"/>
    <w:rsid w:val="00E73E43"/>
    <w:rsid w:val="00E7529F"/>
    <w:rsid w:val="00E801F4"/>
    <w:rsid w:val="00E80B8C"/>
    <w:rsid w:val="00E81BF6"/>
    <w:rsid w:val="00E81F9F"/>
    <w:rsid w:val="00E85CF1"/>
    <w:rsid w:val="00E924C1"/>
    <w:rsid w:val="00E93C84"/>
    <w:rsid w:val="00E96522"/>
    <w:rsid w:val="00E97D56"/>
    <w:rsid w:val="00E97F61"/>
    <w:rsid w:val="00EB2C68"/>
    <w:rsid w:val="00EB7D88"/>
    <w:rsid w:val="00ED08AD"/>
    <w:rsid w:val="00ED1C67"/>
    <w:rsid w:val="00ED2B7D"/>
    <w:rsid w:val="00EE291A"/>
    <w:rsid w:val="00EF6917"/>
    <w:rsid w:val="00EF6E8E"/>
    <w:rsid w:val="00F07F45"/>
    <w:rsid w:val="00F10D41"/>
    <w:rsid w:val="00F12632"/>
    <w:rsid w:val="00F12A26"/>
    <w:rsid w:val="00F2367A"/>
    <w:rsid w:val="00F25D67"/>
    <w:rsid w:val="00F2715D"/>
    <w:rsid w:val="00F36FB4"/>
    <w:rsid w:val="00F4115A"/>
    <w:rsid w:val="00F45C30"/>
    <w:rsid w:val="00F532DB"/>
    <w:rsid w:val="00F60926"/>
    <w:rsid w:val="00F6111F"/>
    <w:rsid w:val="00F70425"/>
    <w:rsid w:val="00F728D9"/>
    <w:rsid w:val="00F75879"/>
    <w:rsid w:val="00F84B54"/>
    <w:rsid w:val="00F87628"/>
    <w:rsid w:val="00F9547E"/>
    <w:rsid w:val="00FA0C43"/>
    <w:rsid w:val="00FA7903"/>
    <w:rsid w:val="00FA79A0"/>
    <w:rsid w:val="00FB5B3F"/>
    <w:rsid w:val="00FC15D3"/>
    <w:rsid w:val="00FC4D8C"/>
    <w:rsid w:val="00FD2703"/>
    <w:rsid w:val="00FE11C3"/>
    <w:rsid w:val="00FE23E0"/>
    <w:rsid w:val="00FE5432"/>
    <w:rsid w:val="00FE64AC"/>
    <w:rsid w:val="00FF67EB"/>
    <w:rsid w:val="00FF7A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07E6D8"/>
  <w15:docId w15:val="{892665A8-85BA-4D32-96F5-CEFFE6CA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Arial"/>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867"/>
    <w:rPr>
      <w:sz w:val="22"/>
      <w:szCs w:val="22"/>
      <w:lang w:val="en-GB" w:eastAsia="en-US"/>
    </w:rPr>
  </w:style>
  <w:style w:type="character" w:styleId="Hyperlink">
    <w:name w:val="Hyperlink"/>
    <w:uiPriority w:val="99"/>
    <w:unhideWhenUsed/>
    <w:rsid w:val="00123FFA"/>
    <w:rPr>
      <w:color w:val="0000FF"/>
      <w:u w:val="single"/>
    </w:rPr>
  </w:style>
  <w:style w:type="character" w:customStyle="1" w:styleId="apple-converted-space">
    <w:name w:val="apple-converted-space"/>
    <w:basedOn w:val="DefaultParagraphFont"/>
    <w:rsid w:val="005E3224"/>
  </w:style>
  <w:style w:type="paragraph" w:styleId="BalloonText">
    <w:name w:val="Balloon Text"/>
    <w:basedOn w:val="Normal"/>
    <w:link w:val="BalloonTextChar"/>
    <w:uiPriority w:val="99"/>
    <w:semiHidden/>
    <w:unhideWhenUsed/>
    <w:rsid w:val="00C506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5068D"/>
    <w:rPr>
      <w:rFonts w:ascii="Tahoma" w:hAnsi="Tahoma" w:cs="Tahoma"/>
      <w:sz w:val="16"/>
      <w:szCs w:val="16"/>
    </w:rPr>
  </w:style>
  <w:style w:type="paragraph" w:styleId="Header">
    <w:name w:val="header"/>
    <w:basedOn w:val="Normal"/>
    <w:link w:val="HeaderChar"/>
    <w:uiPriority w:val="99"/>
    <w:unhideWhenUsed/>
    <w:rsid w:val="00F10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41"/>
  </w:style>
  <w:style w:type="paragraph" w:styleId="Footer">
    <w:name w:val="footer"/>
    <w:basedOn w:val="Normal"/>
    <w:link w:val="FooterChar"/>
    <w:uiPriority w:val="99"/>
    <w:unhideWhenUsed/>
    <w:rsid w:val="00F10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41"/>
  </w:style>
  <w:style w:type="table" w:styleId="TableGrid">
    <w:name w:val="Table Grid"/>
    <w:basedOn w:val="TableNormal"/>
    <w:uiPriority w:val="59"/>
    <w:unhideWhenUsed/>
    <w:rsid w:val="00A5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46"/>
    <w:pPr>
      <w:ind w:left="720"/>
      <w:contextualSpacing/>
    </w:pPr>
  </w:style>
  <w:style w:type="paragraph" w:styleId="Revision">
    <w:name w:val="Revision"/>
    <w:hidden/>
    <w:uiPriority w:val="99"/>
    <w:semiHidden/>
    <w:rsid w:val="00680E46"/>
    <w:rPr>
      <w:sz w:val="22"/>
      <w:szCs w:val="22"/>
      <w:lang w:val="en-GB" w:eastAsia="en-US"/>
    </w:rPr>
  </w:style>
  <w:style w:type="paragraph" w:styleId="FootnoteText">
    <w:name w:val="footnote text"/>
    <w:basedOn w:val="Normal"/>
    <w:link w:val="FootnoteTextChar"/>
    <w:uiPriority w:val="99"/>
    <w:semiHidden/>
    <w:unhideWhenUsed/>
    <w:rsid w:val="001619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79"/>
    <w:rPr>
      <w:lang w:val="en-GB" w:eastAsia="en-US"/>
    </w:rPr>
  </w:style>
  <w:style w:type="character" w:styleId="FootnoteReference">
    <w:name w:val="footnote reference"/>
    <w:basedOn w:val="DefaultParagraphFont"/>
    <w:uiPriority w:val="99"/>
    <w:semiHidden/>
    <w:unhideWhenUsed/>
    <w:rsid w:val="00161979"/>
    <w:rPr>
      <w:vertAlign w:val="superscript"/>
    </w:rPr>
  </w:style>
  <w:style w:type="table" w:customStyle="1" w:styleId="TableGrid1">
    <w:name w:val="Table Grid1"/>
    <w:basedOn w:val="TableNormal"/>
    <w:next w:val="TableGrid"/>
    <w:uiPriority w:val="39"/>
    <w:rsid w:val="009A6F32"/>
    <w:rPr>
      <w:rFonts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1F9F"/>
    <w:rPr>
      <w:sz w:val="18"/>
      <w:szCs w:val="18"/>
    </w:rPr>
  </w:style>
  <w:style w:type="paragraph" w:styleId="CommentText">
    <w:name w:val="annotation text"/>
    <w:basedOn w:val="Normal"/>
    <w:link w:val="CommentTextChar"/>
    <w:uiPriority w:val="99"/>
    <w:unhideWhenUsed/>
    <w:rsid w:val="00E81F9F"/>
  </w:style>
  <w:style w:type="character" w:customStyle="1" w:styleId="CommentTextChar">
    <w:name w:val="Comment Text Char"/>
    <w:basedOn w:val="DefaultParagraphFont"/>
    <w:link w:val="CommentText"/>
    <w:uiPriority w:val="99"/>
    <w:rsid w:val="00E81F9F"/>
    <w:rPr>
      <w:sz w:val="22"/>
      <w:szCs w:val="22"/>
      <w:lang w:val="en-GB" w:eastAsia="en-US"/>
    </w:rPr>
  </w:style>
  <w:style w:type="paragraph" w:styleId="CommentSubject">
    <w:name w:val="annotation subject"/>
    <w:basedOn w:val="CommentText"/>
    <w:next w:val="CommentText"/>
    <w:link w:val="CommentSubjectChar"/>
    <w:uiPriority w:val="99"/>
    <w:semiHidden/>
    <w:unhideWhenUsed/>
    <w:rsid w:val="00E81F9F"/>
    <w:rPr>
      <w:b/>
      <w:bCs/>
    </w:rPr>
  </w:style>
  <w:style w:type="character" w:customStyle="1" w:styleId="CommentSubjectChar">
    <w:name w:val="Comment Subject Char"/>
    <w:basedOn w:val="CommentTextChar"/>
    <w:link w:val="CommentSubject"/>
    <w:uiPriority w:val="99"/>
    <w:semiHidden/>
    <w:rsid w:val="00E81F9F"/>
    <w:rPr>
      <w:b/>
      <w:bCs/>
      <w:sz w:val="22"/>
      <w:szCs w:val="22"/>
      <w:lang w:val="en-GB" w:eastAsia="en-US"/>
    </w:rPr>
  </w:style>
  <w:style w:type="character" w:styleId="UnresolvedMention">
    <w:name w:val="Unresolved Mention"/>
    <w:basedOn w:val="DefaultParagraphFont"/>
    <w:uiPriority w:val="99"/>
    <w:semiHidden/>
    <w:unhideWhenUsed/>
    <w:rsid w:val="004A7AF8"/>
    <w:rPr>
      <w:color w:val="808080"/>
      <w:shd w:val="clear" w:color="auto" w:fill="E6E6E6"/>
    </w:rPr>
  </w:style>
  <w:style w:type="character" w:styleId="FollowedHyperlink">
    <w:name w:val="FollowedHyperlink"/>
    <w:basedOn w:val="DefaultParagraphFont"/>
    <w:uiPriority w:val="99"/>
    <w:semiHidden/>
    <w:unhideWhenUsed/>
    <w:rsid w:val="002B0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B3255-3E4B-42A9-A2E3-CCC660E8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2598</Words>
  <Characters>14811</Characters>
  <Application>Microsoft Office Word</Application>
  <DocSecurity>0</DocSecurity>
  <Lines>123</Lines>
  <Paragraphs>34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USAID</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Rob</dc:creator>
  <cp:lastModifiedBy>Dewey Perks</cp:lastModifiedBy>
  <cp:revision>15</cp:revision>
  <dcterms:created xsi:type="dcterms:W3CDTF">2019-07-16T21:48:00Z</dcterms:created>
  <dcterms:modified xsi:type="dcterms:W3CDTF">2019-10-06T12:57:00Z</dcterms:modified>
</cp:coreProperties>
</file>