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FF" w:rsidRPr="002731F2" w:rsidRDefault="002774FF" w:rsidP="002774FF">
      <w:pPr>
        <w:jc w:val="both"/>
        <w:rPr>
          <w:rFonts w:ascii="Arial" w:hAnsi="Arial" w:cs="Arial"/>
          <w:b/>
          <w:lang w:val="en-GB"/>
        </w:rPr>
      </w:pPr>
      <w:r w:rsidRPr="002731F2">
        <w:rPr>
          <w:rFonts w:ascii="Arial" w:hAnsi="Arial" w:cs="Arial"/>
          <w:b/>
          <w:lang w:val="en-GB"/>
        </w:rPr>
        <w:t xml:space="preserve">Annex </w:t>
      </w:r>
      <w:r w:rsidR="00E86628">
        <w:rPr>
          <w:rFonts w:ascii="Arial" w:hAnsi="Arial" w:cs="Arial"/>
          <w:b/>
          <w:lang w:val="en-GB"/>
        </w:rPr>
        <w:t>C</w:t>
      </w:r>
      <w:r>
        <w:rPr>
          <w:rFonts w:ascii="Arial" w:hAnsi="Arial" w:cs="Arial"/>
          <w:b/>
          <w:lang w:val="en-GB"/>
        </w:rPr>
        <w:tab/>
      </w:r>
      <w:r w:rsidR="00870F95">
        <w:rPr>
          <w:rFonts w:ascii="Arial" w:hAnsi="Arial" w:cs="Arial"/>
          <w:b/>
          <w:lang w:val="en-GB"/>
        </w:rPr>
        <w:t xml:space="preserve">Summary of Discussion Points of Indonesia </w:t>
      </w:r>
      <w:r w:rsidR="00275BDA">
        <w:rPr>
          <w:rFonts w:ascii="Arial" w:hAnsi="Arial" w:cs="Arial"/>
          <w:b/>
          <w:lang w:val="en-GB"/>
        </w:rPr>
        <w:t xml:space="preserve">and </w:t>
      </w:r>
      <w:r w:rsidR="00870F95">
        <w:rPr>
          <w:rFonts w:ascii="Arial" w:hAnsi="Arial" w:cs="Arial"/>
          <w:b/>
          <w:lang w:val="en-GB"/>
        </w:rPr>
        <w:t>Haiti Response Review</w:t>
      </w:r>
    </w:p>
    <w:p w:rsidR="002774FF" w:rsidRPr="002731F2" w:rsidRDefault="002774FF" w:rsidP="002774FF">
      <w:pPr>
        <w:jc w:val="both"/>
        <w:rPr>
          <w:rFonts w:ascii="Arial" w:hAnsi="Arial" w:cs="Arial"/>
          <w:bCs/>
          <w:lang w:val="en-GB"/>
        </w:rPr>
      </w:pPr>
    </w:p>
    <w:tbl>
      <w:tblPr>
        <w:tblW w:w="8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96"/>
        <w:gridCol w:w="2609"/>
        <w:gridCol w:w="2609"/>
      </w:tblGrid>
      <w:tr w:rsidR="002774FF" w:rsidRPr="006B65B5" w:rsidTr="00D659C9">
        <w:tc>
          <w:tcPr>
            <w:tcW w:w="2996" w:type="dxa"/>
          </w:tcPr>
          <w:p w:rsidR="002774FF" w:rsidRPr="006B65B5" w:rsidRDefault="006E737B" w:rsidP="00D659C9">
            <w:pPr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Topic</w:t>
            </w:r>
          </w:p>
        </w:tc>
        <w:tc>
          <w:tcPr>
            <w:tcW w:w="2609" w:type="dxa"/>
          </w:tcPr>
          <w:p w:rsidR="002774FF" w:rsidRPr="006B65B5" w:rsidRDefault="006E737B" w:rsidP="00D659C9">
            <w:pPr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Outcome</w:t>
            </w:r>
          </w:p>
        </w:tc>
        <w:tc>
          <w:tcPr>
            <w:tcW w:w="2609" w:type="dxa"/>
          </w:tcPr>
          <w:p w:rsidR="002774FF" w:rsidRPr="006B65B5" w:rsidRDefault="006E737B" w:rsidP="00D659C9">
            <w:pPr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Action</w:t>
            </w:r>
          </w:p>
        </w:tc>
      </w:tr>
      <w:tr w:rsidR="002774FF" w:rsidRPr="006E737B" w:rsidTr="006E737B">
        <w:tc>
          <w:tcPr>
            <w:tcW w:w="2996" w:type="dxa"/>
          </w:tcPr>
          <w:p w:rsidR="006E737B" w:rsidRPr="006E737B" w:rsidRDefault="006E737B" w:rsidP="006E737B">
            <w:pPr>
              <w:rPr>
                <w:rFonts w:ascii="Arial" w:hAnsi="Arial" w:cs="Arial"/>
                <w:lang w:val="en-AU"/>
              </w:rPr>
            </w:pPr>
            <w:r w:rsidRPr="006E737B">
              <w:rPr>
                <w:rFonts w:ascii="Arial" w:hAnsi="Arial" w:cs="Arial"/>
                <w:bCs/>
                <w:lang w:val="en-AU"/>
              </w:rPr>
              <w:t>1. Clinical Capability at Worksite</w:t>
            </w:r>
            <w:r w:rsidR="005A31C3">
              <w:rPr>
                <w:rFonts w:ascii="Arial" w:hAnsi="Arial" w:cs="Arial"/>
                <w:bCs/>
                <w:lang w:val="en-AU"/>
              </w:rPr>
              <w:t>.</w:t>
            </w:r>
          </w:p>
          <w:p w:rsidR="002774FF" w:rsidRPr="006E737B" w:rsidRDefault="002774FF" w:rsidP="006E737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609" w:type="dxa"/>
          </w:tcPr>
          <w:p w:rsidR="002774FF" w:rsidRPr="006E737B" w:rsidRDefault="006E737B" w:rsidP="005A31C3">
            <w:pPr>
              <w:rPr>
                <w:rFonts w:ascii="Arial" w:hAnsi="Arial" w:cs="Arial"/>
                <w:lang w:val="en-GB"/>
              </w:rPr>
            </w:pPr>
            <w:r w:rsidRPr="006E737B">
              <w:rPr>
                <w:rFonts w:ascii="Arial" w:hAnsi="Arial" w:cs="Arial"/>
                <w:bCs/>
                <w:lang w:val="en-AU"/>
              </w:rPr>
              <w:t>The Clinical competencies described in INSARAG Guidelines Medical Supplement must be available at the BoO while simultaneously being available at the worksite/s depending of the team classification.</w:t>
            </w:r>
          </w:p>
        </w:tc>
        <w:tc>
          <w:tcPr>
            <w:tcW w:w="2609" w:type="dxa"/>
          </w:tcPr>
          <w:p w:rsidR="002774FF" w:rsidRPr="006E737B" w:rsidRDefault="006E737B" w:rsidP="005A31C3">
            <w:pPr>
              <w:rPr>
                <w:rFonts w:ascii="Arial" w:hAnsi="Arial" w:cs="Arial"/>
                <w:lang w:val="en-GB"/>
              </w:rPr>
            </w:pPr>
            <w:r w:rsidRPr="006E737B">
              <w:rPr>
                <w:rFonts w:ascii="Arial" w:hAnsi="Arial" w:cs="Arial"/>
                <w:bCs/>
                <w:lang w:val="en-AU"/>
              </w:rPr>
              <w:t xml:space="preserve">MWG to amend wording in Guidelines medical supplement to make </w:t>
            </w:r>
            <w:r>
              <w:rPr>
                <w:rFonts w:ascii="Arial" w:hAnsi="Arial" w:cs="Arial"/>
                <w:bCs/>
                <w:lang w:val="en-AU"/>
              </w:rPr>
              <w:t>this requirement more clearly understood.</w:t>
            </w:r>
          </w:p>
        </w:tc>
      </w:tr>
      <w:tr w:rsidR="002774FF" w:rsidRPr="005A31C3" w:rsidTr="005A31C3">
        <w:tc>
          <w:tcPr>
            <w:tcW w:w="2996" w:type="dxa"/>
          </w:tcPr>
          <w:p w:rsidR="002774FF" w:rsidRPr="005A31C3" w:rsidRDefault="005A31C3" w:rsidP="005A31C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lang w:val="en-AU"/>
              </w:rPr>
              <w:t>2. Management of Deceased B</w:t>
            </w:r>
            <w:r w:rsidRPr="005A31C3">
              <w:rPr>
                <w:rFonts w:ascii="Arial" w:hAnsi="Arial" w:cs="Arial"/>
                <w:bCs/>
                <w:lang w:val="en-AU"/>
              </w:rPr>
              <w:t>odies</w:t>
            </w:r>
            <w:r>
              <w:rPr>
                <w:rFonts w:ascii="Arial" w:hAnsi="Arial" w:cs="Arial"/>
                <w:bCs/>
                <w:lang w:val="en-AU"/>
              </w:rPr>
              <w:t>.</w:t>
            </w:r>
          </w:p>
        </w:tc>
        <w:tc>
          <w:tcPr>
            <w:tcW w:w="2609" w:type="dxa"/>
          </w:tcPr>
          <w:p w:rsidR="002774FF" w:rsidRPr="005A31C3" w:rsidRDefault="005A31C3" w:rsidP="005A31C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lang w:val="en-AU"/>
              </w:rPr>
              <w:t>USAR teams that responded to Indonesia (2009) and</w:t>
            </w:r>
            <w:r w:rsidRPr="005A31C3">
              <w:rPr>
                <w:rFonts w:ascii="Arial" w:hAnsi="Arial" w:cs="Arial"/>
                <w:bCs/>
                <w:lang w:val="en-AU"/>
              </w:rPr>
              <w:t xml:space="preserve"> Haiti were tasked</w:t>
            </w:r>
            <w:r>
              <w:rPr>
                <w:rFonts w:ascii="Arial" w:hAnsi="Arial" w:cs="Arial"/>
                <w:bCs/>
                <w:lang w:val="en-AU"/>
              </w:rPr>
              <w:t xml:space="preserve"> to recovery the deceased</w:t>
            </w:r>
            <w:r w:rsidRPr="005A31C3">
              <w:rPr>
                <w:rFonts w:ascii="Arial" w:hAnsi="Arial" w:cs="Arial"/>
                <w:bCs/>
                <w:lang w:val="en-AU"/>
              </w:rPr>
              <w:t xml:space="preserve">. </w:t>
            </w:r>
            <w:r>
              <w:rPr>
                <w:rFonts w:ascii="Arial" w:hAnsi="Arial" w:cs="Arial"/>
                <w:bCs/>
                <w:lang w:val="en-AU"/>
              </w:rPr>
              <w:t>It is l</w:t>
            </w:r>
            <w:r w:rsidRPr="005A31C3">
              <w:rPr>
                <w:rFonts w:ascii="Arial" w:hAnsi="Arial" w:cs="Arial"/>
                <w:bCs/>
                <w:lang w:val="en-AU"/>
              </w:rPr>
              <w:t xml:space="preserve">ikely to occur in future </w:t>
            </w:r>
            <w:r>
              <w:rPr>
                <w:rFonts w:ascii="Arial" w:hAnsi="Arial" w:cs="Arial"/>
                <w:bCs/>
                <w:lang w:val="en-AU"/>
              </w:rPr>
              <w:t xml:space="preserve">and </w:t>
            </w:r>
            <w:r w:rsidRPr="005A31C3">
              <w:rPr>
                <w:rFonts w:ascii="Arial" w:hAnsi="Arial" w:cs="Arial"/>
                <w:bCs/>
                <w:lang w:val="en-AU"/>
              </w:rPr>
              <w:t>therefore teams need to be educat</w:t>
            </w:r>
            <w:r>
              <w:rPr>
                <w:rFonts w:ascii="Arial" w:hAnsi="Arial" w:cs="Arial"/>
                <w:bCs/>
                <w:lang w:val="en-AU"/>
              </w:rPr>
              <w:t>ed and prepared to perform this task safely and effectively.</w:t>
            </w:r>
          </w:p>
        </w:tc>
        <w:tc>
          <w:tcPr>
            <w:tcW w:w="2609" w:type="dxa"/>
          </w:tcPr>
          <w:p w:rsidR="002774FF" w:rsidRPr="005A31C3" w:rsidRDefault="005A31C3" w:rsidP="005A31C3">
            <w:pPr>
              <w:rPr>
                <w:rFonts w:ascii="Arial" w:hAnsi="Arial" w:cs="Arial"/>
                <w:lang w:val="en-GB"/>
              </w:rPr>
            </w:pPr>
            <w:r w:rsidRPr="005A31C3">
              <w:rPr>
                <w:rFonts w:ascii="Arial" w:hAnsi="Arial" w:cs="Arial"/>
                <w:bCs/>
                <w:lang w:val="en-AU"/>
              </w:rPr>
              <w:t>MWG to develop guideline on management of decreased</w:t>
            </w:r>
            <w:r>
              <w:rPr>
                <w:rFonts w:ascii="Arial" w:hAnsi="Arial" w:cs="Arial"/>
                <w:bCs/>
                <w:lang w:val="en-AU"/>
              </w:rPr>
              <w:t>. This is a requirement of the TOR.</w:t>
            </w:r>
          </w:p>
        </w:tc>
      </w:tr>
      <w:tr w:rsidR="002774FF" w:rsidRPr="005A31C3" w:rsidTr="005A31C3">
        <w:tc>
          <w:tcPr>
            <w:tcW w:w="2996" w:type="dxa"/>
          </w:tcPr>
          <w:p w:rsidR="002774FF" w:rsidRPr="005A31C3" w:rsidRDefault="005A31C3" w:rsidP="005A31C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lang w:val="en-AU"/>
              </w:rPr>
              <w:t>3. Identification of USAR medical personnel</w:t>
            </w:r>
          </w:p>
        </w:tc>
        <w:tc>
          <w:tcPr>
            <w:tcW w:w="2609" w:type="dxa"/>
          </w:tcPr>
          <w:p w:rsidR="002774FF" w:rsidRPr="005A31C3" w:rsidRDefault="005A31C3" w:rsidP="005A31C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lang w:val="en-AU"/>
              </w:rPr>
              <w:t xml:space="preserve">Due to the ethical, reputational (both team and country) and security issues raised by a USAR team medic not rendering assistance to the wider affected community, it is proposed that USAR medical personnel </w:t>
            </w:r>
            <w:r w:rsidRPr="005A31C3">
              <w:rPr>
                <w:rFonts w:ascii="Arial" w:hAnsi="Arial" w:cs="Arial"/>
                <w:bCs/>
                <w:lang w:val="en-AU"/>
              </w:rPr>
              <w:t xml:space="preserve">are clearly identifiable </w:t>
            </w:r>
            <w:r>
              <w:rPr>
                <w:rFonts w:ascii="Arial" w:hAnsi="Arial" w:cs="Arial"/>
                <w:bCs/>
                <w:lang w:val="en-AU"/>
              </w:rPr>
              <w:t xml:space="preserve">within the </w:t>
            </w:r>
            <w:r w:rsidRPr="005A31C3">
              <w:rPr>
                <w:rFonts w:ascii="Arial" w:hAnsi="Arial" w:cs="Arial"/>
                <w:bCs/>
                <w:lang w:val="en-AU"/>
              </w:rPr>
              <w:t xml:space="preserve">team and between teams but not to </w:t>
            </w:r>
            <w:r>
              <w:rPr>
                <w:rFonts w:ascii="Arial" w:hAnsi="Arial" w:cs="Arial"/>
                <w:bCs/>
                <w:lang w:val="en-AU"/>
              </w:rPr>
              <w:t>the wider community.</w:t>
            </w:r>
          </w:p>
        </w:tc>
        <w:tc>
          <w:tcPr>
            <w:tcW w:w="2609" w:type="dxa"/>
          </w:tcPr>
          <w:p w:rsidR="002774FF" w:rsidRPr="005A31C3" w:rsidRDefault="005A31C3" w:rsidP="005A31C3">
            <w:pPr>
              <w:rPr>
                <w:rFonts w:ascii="Arial" w:hAnsi="Arial" w:cs="Arial"/>
                <w:lang w:val="en-GB"/>
              </w:rPr>
            </w:pPr>
            <w:r w:rsidRPr="005A31C3">
              <w:rPr>
                <w:rFonts w:ascii="Arial" w:hAnsi="Arial" w:cs="Arial"/>
                <w:bCs/>
                <w:lang w:val="en-AU"/>
              </w:rPr>
              <w:t xml:space="preserve">MWG to propose USAR medical </w:t>
            </w:r>
            <w:r>
              <w:rPr>
                <w:rFonts w:ascii="Arial" w:hAnsi="Arial" w:cs="Arial"/>
                <w:bCs/>
                <w:lang w:val="en-AU"/>
              </w:rPr>
              <w:t>identification system</w:t>
            </w:r>
            <w:r w:rsidRPr="005A31C3">
              <w:rPr>
                <w:rFonts w:ascii="Arial" w:hAnsi="Arial" w:cs="Arial"/>
                <w:bCs/>
                <w:lang w:val="en-AU"/>
              </w:rPr>
              <w:t xml:space="preserve"> (e.g., green helmet) to INSARAG S</w:t>
            </w:r>
            <w:r>
              <w:rPr>
                <w:rFonts w:ascii="Arial" w:hAnsi="Arial" w:cs="Arial"/>
                <w:bCs/>
                <w:lang w:val="en-AU"/>
              </w:rPr>
              <w:t xml:space="preserve">teering </w:t>
            </w:r>
            <w:r w:rsidRPr="005A31C3">
              <w:rPr>
                <w:rFonts w:ascii="Arial" w:hAnsi="Arial" w:cs="Arial"/>
                <w:bCs/>
                <w:lang w:val="en-AU"/>
              </w:rPr>
              <w:t>C</w:t>
            </w:r>
            <w:r>
              <w:rPr>
                <w:rFonts w:ascii="Arial" w:hAnsi="Arial" w:cs="Arial"/>
                <w:bCs/>
                <w:lang w:val="en-AU"/>
              </w:rPr>
              <w:t>ommittee for consideration.</w:t>
            </w:r>
          </w:p>
        </w:tc>
      </w:tr>
      <w:tr w:rsidR="002774FF" w:rsidRPr="005A31C3" w:rsidTr="005A31C3">
        <w:tc>
          <w:tcPr>
            <w:tcW w:w="2996" w:type="dxa"/>
          </w:tcPr>
          <w:p w:rsidR="002774FF" w:rsidRPr="005A31C3" w:rsidRDefault="005A31C3" w:rsidP="005A31C3">
            <w:pPr>
              <w:rPr>
                <w:rFonts w:ascii="Arial" w:eastAsia="MS Mincho" w:hAnsi="Arial" w:cs="Arial"/>
                <w:bCs/>
                <w:lang w:val="en-GB" w:eastAsia="ja-JP"/>
              </w:rPr>
            </w:pPr>
            <w:r>
              <w:rPr>
                <w:rFonts w:ascii="Arial" w:eastAsia="MS Mincho" w:hAnsi="Arial" w:cs="Arial"/>
                <w:bCs/>
                <w:lang w:val="en-AU" w:eastAsia="ja-JP"/>
              </w:rPr>
              <w:t>4. Donations of a USAR teams medical consumable items prior to departure from the affected country.</w:t>
            </w:r>
          </w:p>
        </w:tc>
        <w:tc>
          <w:tcPr>
            <w:tcW w:w="2609" w:type="dxa"/>
          </w:tcPr>
          <w:p w:rsidR="002774FF" w:rsidRPr="005A31C3" w:rsidRDefault="005A31C3" w:rsidP="00165336">
            <w:pPr>
              <w:rPr>
                <w:rFonts w:ascii="Arial" w:hAnsi="Arial" w:cs="Arial"/>
                <w:lang w:val="en-GB"/>
              </w:rPr>
            </w:pPr>
            <w:r w:rsidRPr="005A31C3">
              <w:rPr>
                <w:rFonts w:ascii="Arial" w:hAnsi="Arial" w:cs="Arial"/>
                <w:bCs/>
                <w:lang w:val="en-AU"/>
              </w:rPr>
              <w:t>Donations of medical consumables / equipment must be done in a responsible manner</w:t>
            </w:r>
            <w:r w:rsidR="00165336">
              <w:rPr>
                <w:rFonts w:ascii="Arial" w:hAnsi="Arial" w:cs="Arial"/>
                <w:bCs/>
                <w:lang w:val="en-AU"/>
              </w:rPr>
              <w:t>.</w:t>
            </w:r>
          </w:p>
        </w:tc>
        <w:tc>
          <w:tcPr>
            <w:tcW w:w="2609" w:type="dxa"/>
          </w:tcPr>
          <w:p w:rsidR="002774FF" w:rsidRPr="005A31C3" w:rsidRDefault="005A31C3" w:rsidP="00165336">
            <w:pPr>
              <w:rPr>
                <w:rFonts w:ascii="Arial" w:hAnsi="Arial" w:cs="Arial"/>
                <w:lang w:val="en-GB"/>
              </w:rPr>
            </w:pPr>
            <w:r w:rsidRPr="005A31C3">
              <w:rPr>
                <w:rFonts w:ascii="Arial" w:hAnsi="Arial" w:cs="Arial"/>
                <w:bCs/>
                <w:lang w:val="en-AU"/>
              </w:rPr>
              <w:t>MWG to d</w:t>
            </w:r>
            <w:r w:rsidR="00165336">
              <w:rPr>
                <w:rFonts w:ascii="Arial" w:hAnsi="Arial" w:cs="Arial"/>
                <w:bCs/>
                <w:lang w:val="en-AU"/>
              </w:rPr>
              <w:t xml:space="preserve">evelop a guideline on </w:t>
            </w:r>
            <w:r w:rsidRPr="005A31C3">
              <w:rPr>
                <w:rFonts w:ascii="Arial" w:hAnsi="Arial" w:cs="Arial"/>
                <w:bCs/>
                <w:lang w:val="en-AU"/>
              </w:rPr>
              <w:t xml:space="preserve">how best to handover donated </w:t>
            </w:r>
            <w:r w:rsidR="00165336">
              <w:rPr>
                <w:rFonts w:ascii="Arial" w:hAnsi="Arial" w:cs="Arial"/>
                <w:bCs/>
                <w:lang w:val="en-AU"/>
              </w:rPr>
              <w:t xml:space="preserve">medical </w:t>
            </w:r>
            <w:r w:rsidRPr="005A31C3">
              <w:rPr>
                <w:rFonts w:ascii="Arial" w:hAnsi="Arial" w:cs="Arial"/>
                <w:bCs/>
                <w:lang w:val="en-AU"/>
              </w:rPr>
              <w:t>items responsibly</w:t>
            </w:r>
            <w:r w:rsidR="00165336">
              <w:rPr>
                <w:rFonts w:ascii="Arial" w:hAnsi="Arial" w:cs="Arial"/>
                <w:bCs/>
                <w:lang w:val="en-AU"/>
              </w:rPr>
              <w:t>.</w:t>
            </w:r>
          </w:p>
        </w:tc>
      </w:tr>
      <w:tr w:rsidR="002774FF" w:rsidRPr="00275BDA" w:rsidTr="00275BDA">
        <w:tc>
          <w:tcPr>
            <w:tcW w:w="2996" w:type="dxa"/>
          </w:tcPr>
          <w:p w:rsidR="00275BDA" w:rsidRPr="00275BDA" w:rsidRDefault="00275BDA" w:rsidP="00275BDA">
            <w:pPr>
              <w:rPr>
                <w:rFonts w:ascii="Arial" w:eastAsia="MS Mincho" w:hAnsi="Arial" w:cs="Arial"/>
                <w:bCs/>
                <w:lang w:val="en-AU" w:eastAsia="ja-JP"/>
              </w:rPr>
            </w:pPr>
            <w:r>
              <w:rPr>
                <w:rFonts w:ascii="Arial" w:eastAsia="MS Mincho" w:hAnsi="Arial" w:cs="Arial"/>
                <w:bCs/>
                <w:lang w:val="en-AU" w:eastAsia="ja-JP"/>
              </w:rPr>
              <w:t xml:space="preserve">5. Research related to </w:t>
            </w:r>
            <w:r>
              <w:rPr>
                <w:rFonts w:ascii="Arial" w:eastAsia="MS Mincho" w:hAnsi="Arial" w:cs="Arial"/>
                <w:bCs/>
                <w:lang w:val="en-AU" w:eastAsia="ja-JP"/>
              </w:rPr>
              <w:lastRenderedPageBreak/>
              <w:t>medical care in a USAR setting.</w:t>
            </w:r>
          </w:p>
          <w:p w:rsidR="002774FF" w:rsidRPr="00275BDA" w:rsidRDefault="002774FF" w:rsidP="00275BD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609" w:type="dxa"/>
          </w:tcPr>
          <w:p w:rsidR="002774FF" w:rsidRPr="00275BDA" w:rsidRDefault="00275BDA" w:rsidP="00275B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lang w:val="en-AU"/>
              </w:rPr>
              <w:lastRenderedPageBreak/>
              <w:t xml:space="preserve">A system should be </w:t>
            </w:r>
            <w:r>
              <w:rPr>
                <w:rFonts w:ascii="Arial" w:hAnsi="Arial" w:cs="Arial"/>
                <w:bCs/>
                <w:lang w:val="en-AU"/>
              </w:rPr>
              <w:lastRenderedPageBreak/>
              <w:t>established that allows for the collection and publication of data in a manner that does not enable any individual/s to benefit personally.</w:t>
            </w:r>
          </w:p>
        </w:tc>
        <w:tc>
          <w:tcPr>
            <w:tcW w:w="2609" w:type="dxa"/>
          </w:tcPr>
          <w:p w:rsidR="002774FF" w:rsidRPr="00275BDA" w:rsidRDefault="00275BDA" w:rsidP="00275B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lang w:val="en-AU"/>
              </w:rPr>
              <w:lastRenderedPageBreak/>
              <w:t>MWG to p</w:t>
            </w:r>
            <w:r w:rsidRPr="00275BDA">
              <w:rPr>
                <w:rFonts w:ascii="Arial" w:hAnsi="Arial" w:cs="Arial"/>
                <w:bCs/>
                <w:lang w:val="en-AU"/>
              </w:rPr>
              <w:t xml:space="preserve">ropose </w:t>
            </w:r>
            <w:r>
              <w:rPr>
                <w:rFonts w:ascii="Arial" w:hAnsi="Arial" w:cs="Arial"/>
                <w:bCs/>
                <w:lang w:val="en-AU"/>
              </w:rPr>
              <w:t xml:space="preserve">a </w:t>
            </w:r>
            <w:r>
              <w:rPr>
                <w:rFonts w:ascii="Arial" w:hAnsi="Arial" w:cs="Arial"/>
                <w:bCs/>
                <w:lang w:val="en-AU"/>
              </w:rPr>
              <w:lastRenderedPageBreak/>
              <w:t xml:space="preserve">system of </w:t>
            </w:r>
            <w:r w:rsidRPr="00275BDA">
              <w:rPr>
                <w:rFonts w:ascii="Arial" w:hAnsi="Arial" w:cs="Arial"/>
                <w:bCs/>
                <w:lang w:val="en-AU"/>
              </w:rPr>
              <w:t xml:space="preserve">data collection </w:t>
            </w:r>
            <w:r>
              <w:rPr>
                <w:rFonts w:ascii="Arial" w:hAnsi="Arial" w:cs="Arial"/>
                <w:bCs/>
                <w:lang w:val="en-AU"/>
              </w:rPr>
              <w:t>and publication for consideration by the INSARAG Secretariat. Although this will be developed from a medical perspective, the principle is equally applicable across all disciplines of USAR.</w:t>
            </w:r>
          </w:p>
        </w:tc>
      </w:tr>
    </w:tbl>
    <w:p w:rsidR="00794895" w:rsidRDefault="00794895"/>
    <w:sectPr w:rsidR="00794895" w:rsidSect="0079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774FF"/>
    <w:rsid w:val="0005168A"/>
    <w:rsid w:val="00165336"/>
    <w:rsid w:val="00275BDA"/>
    <w:rsid w:val="002774FF"/>
    <w:rsid w:val="003419EC"/>
    <w:rsid w:val="005A31C3"/>
    <w:rsid w:val="00695B68"/>
    <w:rsid w:val="006E737B"/>
    <w:rsid w:val="00794895"/>
    <w:rsid w:val="00870F95"/>
    <w:rsid w:val="00C15671"/>
    <w:rsid w:val="00E8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B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B68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6</cp:revision>
  <dcterms:created xsi:type="dcterms:W3CDTF">2010-03-28T23:39:00Z</dcterms:created>
  <dcterms:modified xsi:type="dcterms:W3CDTF">2010-03-29T02:01:00Z</dcterms:modified>
</cp:coreProperties>
</file>