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2EA" w:rsidRPr="00DC1DF8" w:rsidRDefault="00E502EA" w:rsidP="00E502EA">
      <w:pPr>
        <w:pStyle w:val="Heading1"/>
        <w:jc w:val="center"/>
        <w:rPr>
          <w:rFonts w:asciiTheme="minorHAnsi" w:hAnsiTheme="minorHAnsi" w:cstheme="minorHAnsi"/>
          <w:sz w:val="20"/>
          <w:szCs w:val="20"/>
        </w:rPr>
      </w:pPr>
      <w:bookmarkStart w:id="0" w:name="_Toc264672362"/>
      <w:bookmarkStart w:id="1" w:name="_GoBack"/>
      <w:bookmarkEnd w:id="1"/>
      <w:r w:rsidRPr="00DC1DF8">
        <w:rPr>
          <w:rFonts w:asciiTheme="minorHAnsi" w:hAnsiTheme="minorHAnsi" w:cstheme="minorHAnsi"/>
          <w:sz w:val="20"/>
          <w:szCs w:val="20"/>
        </w:rPr>
        <w:t xml:space="preserve">Minimum Operating Standards </w:t>
      </w:r>
      <w:bookmarkEnd w:id="0"/>
    </w:p>
    <w:p w:rsidR="00E502EA" w:rsidRPr="00DC1DF8" w:rsidRDefault="00E502EA" w:rsidP="00E502EA">
      <w:pPr>
        <w:jc w:val="center"/>
        <w:rPr>
          <w:rFonts w:asciiTheme="minorHAnsi" w:hAnsiTheme="minorHAnsi" w:cstheme="minorHAnsi"/>
          <w:b/>
          <w:sz w:val="20"/>
          <w:szCs w:val="20"/>
        </w:rPr>
      </w:pPr>
      <w:r w:rsidRPr="00DC1DF8">
        <w:rPr>
          <w:rFonts w:asciiTheme="minorHAnsi" w:hAnsiTheme="minorHAnsi" w:cstheme="minorHAnsi"/>
          <w:b/>
          <w:sz w:val="20"/>
          <w:szCs w:val="20"/>
        </w:rPr>
        <w:t xml:space="preserve">Protection from Sexual Exploitation and Abuse by </w:t>
      </w:r>
      <w:r w:rsidR="00973264">
        <w:rPr>
          <w:rFonts w:asciiTheme="minorHAnsi" w:hAnsiTheme="minorHAnsi" w:cstheme="minorHAnsi"/>
          <w:b/>
          <w:sz w:val="20"/>
          <w:szCs w:val="20"/>
        </w:rPr>
        <w:t>own</w:t>
      </w:r>
      <w:r w:rsidR="008F1143">
        <w:rPr>
          <w:rFonts w:asciiTheme="minorHAnsi" w:hAnsiTheme="minorHAnsi" w:cstheme="minorHAnsi"/>
          <w:b/>
          <w:sz w:val="20"/>
          <w:szCs w:val="20"/>
        </w:rPr>
        <w:t xml:space="preserve"> </w:t>
      </w:r>
      <w:r w:rsidRPr="00DC1DF8">
        <w:rPr>
          <w:rFonts w:asciiTheme="minorHAnsi" w:hAnsiTheme="minorHAnsi" w:cstheme="minorHAnsi"/>
          <w:b/>
          <w:sz w:val="20"/>
          <w:szCs w:val="20"/>
        </w:rPr>
        <w:t>Personnel</w:t>
      </w:r>
      <w:r w:rsidR="00494F70">
        <w:rPr>
          <w:rFonts w:asciiTheme="minorHAnsi" w:hAnsiTheme="minorHAnsi" w:cstheme="minorHAnsi"/>
          <w:b/>
          <w:sz w:val="20"/>
          <w:szCs w:val="20"/>
        </w:rPr>
        <w:t xml:space="preserve"> </w:t>
      </w:r>
      <w:r w:rsidR="00494F70" w:rsidRPr="00DC1DF8">
        <w:rPr>
          <w:rFonts w:asciiTheme="minorHAnsi" w:hAnsiTheme="minorHAnsi" w:cstheme="minorHAnsi"/>
          <w:sz w:val="20"/>
          <w:szCs w:val="20"/>
        </w:rPr>
        <w:t>(MOS-PSEA)</w:t>
      </w:r>
      <w:r w:rsidR="00494F70">
        <w:rPr>
          <w:rStyle w:val="FootnoteReference"/>
          <w:rFonts w:asciiTheme="minorHAnsi" w:hAnsiTheme="minorHAnsi" w:cstheme="minorHAnsi"/>
          <w:sz w:val="20"/>
          <w:szCs w:val="20"/>
        </w:rPr>
        <w:footnoteReference w:id="1"/>
      </w:r>
    </w:p>
    <w:p w:rsidR="007B4D8F" w:rsidRPr="00DC1DF8" w:rsidRDefault="00822151" w:rsidP="007F6CA1">
      <w:pPr>
        <w:jc w:val="both"/>
        <w:rPr>
          <w:rFonts w:asciiTheme="minorHAnsi" w:hAnsiTheme="minorHAnsi" w:cstheme="minorHAnsi"/>
          <w:b/>
          <w:bCs/>
          <w:sz w:val="20"/>
          <w:szCs w:val="20"/>
          <w:u w:val="single"/>
        </w:rPr>
      </w:pPr>
      <w:r>
        <w:rPr>
          <w:rFonts w:asciiTheme="minorHAnsi" w:hAnsiTheme="minorHAnsi" w:cstheme="minorHAnsi"/>
          <w:sz w:val="20"/>
          <w:szCs w:val="20"/>
        </w:rPr>
        <w:t xml:space="preserve">To </w:t>
      </w:r>
      <w:r w:rsidR="00E502EA" w:rsidRPr="00DC1DF8">
        <w:rPr>
          <w:rFonts w:asciiTheme="minorHAnsi" w:hAnsiTheme="minorHAnsi" w:cstheme="minorHAnsi"/>
          <w:sz w:val="20"/>
          <w:szCs w:val="20"/>
        </w:rPr>
        <w:t xml:space="preserve">provide protection from sexual exploitation and abuse (PSEA) by </w:t>
      </w:r>
      <w:r w:rsidR="00973264">
        <w:rPr>
          <w:rFonts w:asciiTheme="minorHAnsi" w:hAnsiTheme="minorHAnsi" w:cstheme="minorHAnsi"/>
          <w:sz w:val="20"/>
          <w:szCs w:val="20"/>
        </w:rPr>
        <w:t>own</w:t>
      </w:r>
      <w:r w:rsidR="00494F70">
        <w:rPr>
          <w:rFonts w:asciiTheme="minorHAnsi" w:hAnsiTheme="minorHAnsi" w:cstheme="minorHAnsi"/>
          <w:sz w:val="20"/>
          <w:szCs w:val="20"/>
        </w:rPr>
        <w:t xml:space="preserve"> </w:t>
      </w:r>
      <w:r>
        <w:rPr>
          <w:rFonts w:asciiTheme="minorHAnsi" w:hAnsiTheme="minorHAnsi" w:cstheme="minorHAnsi"/>
          <w:sz w:val="20"/>
          <w:szCs w:val="20"/>
        </w:rPr>
        <w:t>personnel the compliance with a set of</w:t>
      </w:r>
      <w:r w:rsidR="00EF5984" w:rsidRPr="00DC1DF8">
        <w:rPr>
          <w:rFonts w:asciiTheme="minorHAnsi" w:hAnsiTheme="minorHAnsi" w:cstheme="minorHAnsi"/>
          <w:sz w:val="20"/>
          <w:szCs w:val="20"/>
        </w:rPr>
        <w:t xml:space="preserve"> Minimum Operating Standard</w:t>
      </w:r>
      <w:r w:rsidR="00494F70">
        <w:rPr>
          <w:rFonts w:asciiTheme="minorHAnsi" w:hAnsiTheme="minorHAnsi" w:cstheme="minorHAnsi"/>
          <w:sz w:val="20"/>
          <w:szCs w:val="20"/>
        </w:rPr>
        <w:t>s</w:t>
      </w:r>
      <w:r w:rsidR="00E502EA" w:rsidRPr="00DC1DF8">
        <w:rPr>
          <w:rFonts w:asciiTheme="minorHAnsi" w:hAnsiTheme="minorHAnsi" w:cstheme="minorHAnsi"/>
          <w:sz w:val="20"/>
          <w:szCs w:val="20"/>
        </w:rPr>
        <w:t xml:space="preserve"> for PSEA (MOS-PSEA) is </w:t>
      </w:r>
      <w:r w:rsidR="00D36DF6" w:rsidRPr="00DC1DF8">
        <w:rPr>
          <w:rFonts w:asciiTheme="minorHAnsi" w:hAnsiTheme="minorHAnsi" w:cstheme="minorHAnsi"/>
          <w:sz w:val="20"/>
          <w:szCs w:val="20"/>
        </w:rPr>
        <w:t>required.</w:t>
      </w:r>
      <w:r w:rsidR="00EF5984" w:rsidRPr="00DC1DF8">
        <w:rPr>
          <w:rFonts w:asciiTheme="minorHAnsi" w:hAnsiTheme="minorHAnsi" w:cstheme="minorHAnsi"/>
          <w:sz w:val="20"/>
          <w:szCs w:val="20"/>
        </w:rPr>
        <w:t xml:space="preserve"> </w:t>
      </w:r>
      <w:r>
        <w:rPr>
          <w:rFonts w:asciiTheme="minorHAnsi" w:hAnsiTheme="minorHAnsi" w:cstheme="minorHAnsi"/>
          <w:sz w:val="20"/>
          <w:szCs w:val="20"/>
        </w:rPr>
        <w:t xml:space="preserve">The MOS-PSEA </w:t>
      </w:r>
      <w:r w:rsidR="00494F70">
        <w:rPr>
          <w:rFonts w:asciiTheme="minorHAnsi" w:hAnsiTheme="minorHAnsi" w:cstheme="minorHAnsi"/>
          <w:sz w:val="20"/>
          <w:szCs w:val="20"/>
        </w:rPr>
        <w:t>are</w:t>
      </w:r>
      <w:r w:rsidR="00494F70" w:rsidRPr="00DC1DF8">
        <w:rPr>
          <w:rFonts w:asciiTheme="minorHAnsi" w:hAnsiTheme="minorHAnsi" w:cstheme="minorHAnsi"/>
          <w:sz w:val="20"/>
          <w:szCs w:val="20"/>
        </w:rPr>
        <w:t xml:space="preserve"> </w:t>
      </w:r>
      <w:r w:rsidR="00E502EA" w:rsidRPr="00DC1DF8">
        <w:rPr>
          <w:rFonts w:asciiTheme="minorHAnsi" w:hAnsiTheme="minorHAnsi" w:cstheme="minorHAnsi"/>
          <w:sz w:val="20"/>
          <w:szCs w:val="20"/>
        </w:rPr>
        <w:t xml:space="preserve">modelled after the well-known Minimum Operating Security Standards for Staff Safety </w:t>
      </w:r>
      <w:r>
        <w:rPr>
          <w:rFonts w:asciiTheme="minorHAnsi" w:hAnsiTheme="minorHAnsi" w:cstheme="minorHAnsi"/>
          <w:sz w:val="20"/>
          <w:szCs w:val="20"/>
        </w:rPr>
        <w:t>(</w:t>
      </w:r>
      <w:r w:rsidR="00E502EA" w:rsidRPr="00DC1DF8">
        <w:rPr>
          <w:rFonts w:asciiTheme="minorHAnsi" w:hAnsiTheme="minorHAnsi" w:cstheme="minorHAnsi"/>
          <w:sz w:val="20"/>
          <w:szCs w:val="20"/>
        </w:rPr>
        <w:t>or MOSS</w:t>
      </w:r>
      <w:r>
        <w:rPr>
          <w:rFonts w:asciiTheme="minorHAnsi" w:hAnsiTheme="minorHAnsi" w:cstheme="minorHAnsi"/>
          <w:sz w:val="20"/>
          <w:szCs w:val="20"/>
        </w:rPr>
        <w:t>)</w:t>
      </w:r>
      <w:r w:rsidR="00E502EA" w:rsidRPr="00DC1DF8">
        <w:rPr>
          <w:rFonts w:asciiTheme="minorHAnsi" w:hAnsiTheme="minorHAnsi" w:cstheme="minorHAnsi"/>
          <w:sz w:val="20"/>
          <w:szCs w:val="20"/>
        </w:rPr>
        <w:t xml:space="preserve"> compliance mechanism, which is mandatory for </w:t>
      </w:r>
      <w:r w:rsidR="00494F70">
        <w:rPr>
          <w:rFonts w:asciiTheme="minorHAnsi" w:hAnsiTheme="minorHAnsi" w:cstheme="minorHAnsi"/>
          <w:sz w:val="20"/>
          <w:szCs w:val="20"/>
        </w:rPr>
        <w:t xml:space="preserve">the </w:t>
      </w:r>
      <w:r w:rsidR="00E502EA" w:rsidRPr="00DC1DF8">
        <w:rPr>
          <w:rFonts w:asciiTheme="minorHAnsi" w:hAnsiTheme="minorHAnsi" w:cstheme="minorHAnsi"/>
          <w:sz w:val="20"/>
          <w:szCs w:val="20"/>
        </w:rPr>
        <w:t xml:space="preserve">UN </w:t>
      </w:r>
      <w:r w:rsidR="00494F70">
        <w:rPr>
          <w:rFonts w:asciiTheme="minorHAnsi" w:hAnsiTheme="minorHAnsi" w:cstheme="minorHAnsi"/>
          <w:sz w:val="20"/>
          <w:szCs w:val="20"/>
        </w:rPr>
        <w:t xml:space="preserve">System </w:t>
      </w:r>
      <w:r w:rsidR="00E502EA" w:rsidRPr="00DC1DF8">
        <w:rPr>
          <w:rFonts w:asciiTheme="minorHAnsi" w:hAnsiTheme="minorHAnsi" w:cstheme="minorHAnsi"/>
          <w:sz w:val="20"/>
          <w:szCs w:val="20"/>
        </w:rPr>
        <w:t xml:space="preserve">to ensure there is a common set of requirements that all agencies follow in order to ensure staff safety. </w:t>
      </w:r>
    </w:p>
    <w:p w:rsidR="00E502EA" w:rsidRPr="00DC1DF8" w:rsidRDefault="00E502EA" w:rsidP="00E502EA">
      <w:pPr>
        <w:rPr>
          <w:rFonts w:asciiTheme="minorHAnsi" w:hAnsiTheme="minorHAnsi" w:cstheme="minorHAnsi"/>
          <w:b/>
          <w:bCs/>
          <w:sz w:val="20"/>
          <w:szCs w:val="20"/>
          <w:u w:val="single"/>
        </w:rPr>
      </w:pPr>
      <w:r w:rsidRPr="00DC1DF8">
        <w:rPr>
          <w:rFonts w:asciiTheme="minorHAnsi" w:hAnsiTheme="minorHAnsi" w:cstheme="minorHAnsi"/>
          <w:b/>
          <w:bCs/>
          <w:sz w:val="20"/>
          <w:szCs w:val="20"/>
          <w:u w:val="single"/>
        </w:rPr>
        <w:t>What</w:t>
      </w:r>
      <w:r w:rsidR="00D02CE1">
        <w:rPr>
          <w:rFonts w:asciiTheme="minorHAnsi" w:hAnsiTheme="minorHAnsi" w:cstheme="minorHAnsi"/>
          <w:b/>
          <w:bCs/>
          <w:sz w:val="20"/>
          <w:szCs w:val="20"/>
          <w:u w:val="single"/>
        </w:rPr>
        <w:t xml:space="preserve"> </w:t>
      </w:r>
      <w:proofErr w:type="gramStart"/>
      <w:r w:rsidR="00494F70">
        <w:rPr>
          <w:rFonts w:asciiTheme="minorHAnsi" w:hAnsiTheme="minorHAnsi" w:cstheme="minorHAnsi"/>
          <w:b/>
          <w:bCs/>
          <w:sz w:val="20"/>
          <w:szCs w:val="20"/>
          <w:u w:val="single"/>
        </w:rPr>
        <w:t>are</w:t>
      </w:r>
      <w:proofErr w:type="gramEnd"/>
      <w:r w:rsidR="00494F70">
        <w:rPr>
          <w:rFonts w:asciiTheme="minorHAnsi" w:hAnsiTheme="minorHAnsi" w:cstheme="minorHAnsi"/>
          <w:b/>
          <w:bCs/>
          <w:sz w:val="20"/>
          <w:szCs w:val="20"/>
          <w:u w:val="single"/>
        </w:rPr>
        <w:t xml:space="preserve"> </w:t>
      </w:r>
      <w:r w:rsidR="00822151">
        <w:rPr>
          <w:rFonts w:asciiTheme="minorHAnsi" w:hAnsiTheme="minorHAnsi" w:cstheme="minorHAnsi"/>
          <w:b/>
          <w:bCs/>
          <w:sz w:val="20"/>
          <w:szCs w:val="20"/>
          <w:u w:val="single"/>
        </w:rPr>
        <w:t>the MOS-PSEA</w:t>
      </w:r>
      <w:r w:rsidRPr="00DC1DF8">
        <w:rPr>
          <w:rFonts w:asciiTheme="minorHAnsi" w:hAnsiTheme="minorHAnsi" w:cstheme="minorHAnsi"/>
          <w:b/>
          <w:bCs/>
          <w:sz w:val="20"/>
          <w:szCs w:val="20"/>
          <w:u w:val="single"/>
        </w:rPr>
        <w:t xml:space="preserve">?  </w:t>
      </w:r>
    </w:p>
    <w:p w:rsidR="00E502EA" w:rsidRPr="00DC1DF8" w:rsidRDefault="004220F4" w:rsidP="00E502EA">
      <w:pPr>
        <w:rPr>
          <w:rFonts w:asciiTheme="minorHAnsi" w:hAnsiTheme="minorHAnsi" w:cstheme="minorHAnsi"/>
          <w:sz w:val="20"/>
          <w:szCs w:val="20"/>
        </w:rPr>
      </w:pPr>
      <w:r w:rsidRPr="00DC1DF8">
        <w:rPr>
          <w:rFonts w:asciiTheme="minorHAnsi" w:hAnsiTheme="minorHAnsi" w:cstheme="minorHAnsi"/>
          <w:sz w:val="20"/>
          <w:szCs w:val="20"/>
        </w:rPr>
        <w:t xml:space="preserve">The MOS-PSEA </w:t>
      </w:r>
      <w:proofErr w:type="gramStart"/>
      <w:r w:rsidR="00494F70">
        <w:rPr>
          <w:rFonts w:asciiTheme="minorHAnsi" w:hAnsiTheme="minorHAnsi" w:cstheme="minorHAnsi"/>
          <w:sz w:val="20"/>
          <w:szCs w:val="20"/>
        </w:rPr>
        <w:t>are</w:t>
      </w:r>
      <w:proofErr w:type="gramEnd"/>
      <w:r w:rsidR="00494F70" w:rsidRPr="00DC1DF8">
        <w:rPr>
          <w:rFonts w:asciiTheme="minorHAnsi" w:hAnsiTheme="minorHAnsi" w:cstheme="minorHAnsi"/>
          <w:sz w:val="20"/>
          <w:szCs w:val="20"/>
        </w:rPr>
        <w:t xml:space="preserve"> </w:t>
      </w:r>
      <w:r w:rsidR="009754CF" w:rsidRPr="00DC1DF8">
        <w:rPr>
          <w:rFonts w:asciiTheme="minorHAnsi" w:hAnsiTheme="minorHAnsi" w:cstheme="minorHAnsi"/>
          <w:sz w:val="20"/>
          <w:szCs w:val="20"/>
        </w:rPr>
        <w:t>based on</w:t>
      </w:r>
      <w:r w:rsidR="00E502EA" w:rsidRPr="00DC1DF8">
        <w:rPr>
          <w:rFonts w:asciiTheme="minorHAnsi" w:hAnsiTheme="minorHAnsi" w:cstheme="minorHAnsi"/>
          <w:sz w:val="20"/>
          <w:szCs w:val="20"/>
        </w:rPr>
        <w:t>:</w:t>
      </w:r>
    </w:p>
    <w:p w:rsidR="005E3291" w:rsidRPr="00DB1080" w:rsidRDefault="00A1502A" w:rsidP="00DB1080">
      <w:pPr>
        <w:numPr>
          <w:ilvl w:val="0"/>
          <w:numId w:val="2"/>
        </w:numPr>
        <w:spacing w:after="0"/>
        <w:rPr>
          <w:rFonts w:asciiTheme="minorHAnsi" w:hAnsiTheme="minorHAnsi" w:cstheme="minorHAnsi"/>
          <w:sz w:val="20"/>
          <w:szCs w:val="20"/>
        </w:rPr>
      </w:pPr>
      <w:r>
        <w:rPr>
          <w:rFonts w:asciiTheme="minorHAnsi" w:hAnsiTheme="minorHAnsi" w:cstheme="minorHAnsi"/>
          <w:sz w:val="20"/>
          <w:szCs w:val="20"/>
        </w:rPr>
        <w:t xml:space="preserve">The </w:t>
      </w:r>
      <w:r w:rsidR="00DB1080" w:rsidRPr="00DB1080">
        <w:rPr>
          <w:rFonts w:asciiTheme="minorHAnsi" w:hAnsiTheme="minorHAnsi" w:cstheme="minorHAnsi"/>
          <w:sz w:val="20"/>
          <w:szCs w:val="20"/>
        </w:rPr>
        <w:t>Statement of Commitment on Eliminating Sexual Exploitation and Abuse by UN and Non-UN Personnel</w:t>
      </w:r>
      <w:r w:rsidR="00DA4E26">
        <w:rPr>
          <w:rFonts w:asciiTheme="minorHAnsi" w:hAnsiTheme="minorHAnsi" w:cstheme="minorHAnsi"/>
          <w:sz w:val="20"/>
          <w:szCs w:val="20"/>
        </w:rPr>
        <w:t>, August 2008</w:t>
      </w:r>
      <w:r w:rsidR="00E502EA" w:rsidRPr="00DB1080">
        <w:rPr>
          <w:rFonts w:asciiTheme="minorHAnsi" w:hAnsiTheme="minorHAnsi" w:cstheme="minorHAnsi"/>
          <w:sz w:val="20"/>
          <w:szCs w:val="20"/>
        </w:rPr>
        <w:t xml:space="preserve"> </w:t>
      </w:r>
    </w:p>
    <w:p w:rsidR="00494F70" w:rsidRPr="005E3291" w:rsidRDefault="00494F70" w:rsidP="007B4D8F">
      <w:pPr>
        <w:numPr>
          <w:ilvl w:val="0"/>
          <w:numId w:val="2"/>
        </w:numPr>
        <w:spacing w:after="0"/>
        <w:rPr>
          <w:rFonts w:asciiTheme="minorHAnsi" w:hAnsiTheme="minorHAnsi" w:cstheme="minorHAnsi"/>
          <w:sz w:val="20"/>
          <w:szCs w:val="20"/>
        </w:rPr>
      </w:pPr>
      <w:r w:rsidRPr="00DB1080">
        <w:rPr>
          <w:rFonts w:asciiTheme="minorHAnsi" w:hAnsiTheme="minorHAnsi" w:cstheme="minorHAnsi"/>
          <w:sz w:val="20"/>
          <w:szCs w:val="20"/>
        </w:rPr>
        <w:t xml:space="preserve">The </w:t>
      </w:r>
      <w:r w:rsidR="005E3291" w:rsidRPr="00DB1080">
        <w:rPr>
          <w:rFonts w:asciiTheme="minorHAnsi" w:hAnsiTheme="minorHAnsi" w:cstheme="minorHAnsi"/>
          <w:sz w:val="20"/>
          <w:szCs w:val="20"/>
        </w:rPr>
        <w:t xml:space="preserve">Global </w:t>
      </w:r>
      <w:r w:rsidRPr="00DB1080">
        <w:rPr>
          <w:rFonts w:asciiTheme="minorHAnsi" w:hAnsiTheme="minorHAnsi" w:cstheme="minorHAnsi"/>
          <w:sz w:val="20"/>
          <w:szCs w:val="20"/>
        </w:rPr>
        <w:t xml:space="preserve">Review </w:t>
      </w:r>
      <w:r w:rsidR="005E3291" w:rsidRPr="00DB1080">
        <w:rPr>
          <w:rFonts w:asciiTheme="minorHAnsi" w:hAnsiTheme="minorHAnsi" w:cstheme="minorHAnsi"/>
          <w:sz w:val="20"/>
          <w:szCs w:val="20"/>
        </w:rPr>
        <w:t>of protection from Sexual Exploitation and Abuse by UN, NGO, IOM and IFRC Personnel, July 2010</w:t>
      </w:r>
    </w:p>
    <w:p w:rsidR="00E502EA" w:rsidRPr="00D02CE1" w:rsidRDefault="00D065A6" w:rsidP="00D065A6">
      <w:pPr>
        <w:numPr>
          <w:ilvl w:val="0"/>
          <w:numId w:val="2"/>
        </w:numPr>
        <w:spacing w:after="0"/>
        <w:rPr>
          <w:rFonts w:asciiTheme="minorHAnsi" w:hAnsiTheme="minorHAnsi" w:cstheme="minorHAnsi"/>
          <w:sz w:val="20"/>
          <w:szCs w:val="20"/>
        </w:rPr>
      </w:pPr>
      <w:r w:rsidRPr="00D065A6">
        <w:rPr>
          <w:sz w:val="20"/>
          <w:szCs w:val="20"/>
        </w:rPr>
        <w:t>IASC Six Core Principles Relating to Sexual Exploitation and Abuse</w:t>
      </w:r>
      <w:r w:rsidR="00DB1080">
        <w:rPr>
          <w:sz w:val="20"/>
          <w:szCs w:val="20"/>
        </w:rPr>
        <w:t>, June 2002</w:t>
      </w:r>
      <w:r w:rsidRPr="00D065A6">
        <w:t xml:space="preserve"> </w:t>
      </w:r>
    </w:p>
    <w:p w:rsidR="001D511C" w:rsidRPr="00DC1DF8" w:rsidRDefault="001D511C" w:rsidP="00E502EA">
      <w:pPr>
        <w:rPr>
          <w:rFonts w:asciiTheme="minorHAnsi" w:hAnsiTheme="minorHAnsi" w:cstheme="minorHAnsi"/>
          <w:b/>
          <w:sz w:val="20"/>
          <w:szCs w:val="20"/>
          <w:u w:val="single"/>
        </w:rPr>
      </w:pPr>
    </w:p>
    <w:p w:rsidR="00E502EA" w:rsidRPr="00DC1DF8" w:rsidRDefault="00E502EA" w:rsidP="00E502EA">
      <w:pPr>
        <w:rPr>
          <w:rFonts w:asciiTheme="minorHAnsi" w:hAnsiTheme="minorHAnsi" w:cstheme="minorHAnsi"/>
          <w:b/>
          <w:sz w:val="20"/>
          <w:szCs w:val="20"/>
          <w:u w:val="single"/>
        </w:rPr>
      </w:pPr>
      <w:r w:rsidRPr="00DC1DF8">
        <w:rPr>
          <w:rFonts w:asciiTheme="minorHAnsi" w:hAnsiTheme="minorHAnsi" w:cstheme="minorHAnsi"/>
          <w:b/>
          <w:sz w:val="20"/>
          <w:szCs w:val="20"/>
          <w:u w:val="single"/>
        </w:rPr>
        <w:t>Wha</w:t>
      </w:r>
      <w:r w:rsidR="001D511C" w:rsidRPr="00DC1DF8">
        <w:rPr>
          <w:rFonts w:asciiTheme="minorHAnsi" w:hAnsiTheme="minorHAnsi" w:cstheme="minorHAnsi"/>
          <w:b/>
          <w:sz w:val="20"/>
          <w:szCs w:val="20"/>
          <w:u w:val="single"/>
        </w:rPr>
        <w:t>t are the key elements of the MOS-PSEA</w:t>
      </w:r>
      <w:r w:rsidRPr="00DC1DF8">
        <w:rPr>
          <w:rFonts w:asciiTheme="minorHAnsi" w:hAnsiTheme="minorHAnsi" w:cstheme="minorHAnsi"/>
          <w:b/>
          <w:sz w:val="20"/>
          <w:szCs w:val="20"/>
          <w:u w:val="single"/>
        </w:rPr>
        <w:t>?</w:t>
      </w:r>
    </w:p>
    <w:p w:rsidR="00E502EA" w:rsidRPr="00DC1DF8" w:rsidRDefault="00367E33" w:rsidP="00E502EA">
      <w:pPr>
        <w:rPr>
          <w:rFonts w:asciiTheme="minorHAnsi" w:hAnsiTheme="minorHAnsi" w:cstheme="minorHAnsi"/>
          <w:sz w:val="20"/>
          <w:szCs w:val="20"/>
        </w:rPr>
      </w:pPr>
      <w:r>
        <w:rPr>
          <w:rFonts w:asciiTheme="minorHAnsi" w:hAnsiTheme="minorHAnsi" w:cstheme="minorHAnsi"/>
          <w:sz w:val="20"/>
          <w:szCs w:val="20"/>
        </w:rPr>
        <w:t>The</w:t>
      </w:r>
      <w:r w:rsidR="001D511C" w:rsidRPr="00DC1DF8">
        <w:rPr>
          <w:rFonts w:asciiTheme="minorHAnsi" w:hAnsiTheme="minorHAnsi" w:cstheme="minorHAnsi"/>
          <w:sz w:val="20"/>
          <w:szCs w:val="20"/>
        </w:rPr>
        <w:t xml:space="preserve"> </w:t>
      </w:r>
      <w:r w:rsidR="00E502EA" w:rsidRPr="00DC1DF8">
        <w:rPr>
          <w:rFonts w:asciiTheme="minorHAnsi" w:hAnsiTheme="minorHAnsi" w:cstheme="minorHAnsi"/>
          <w:sz w:val="20"/>
          <w:szCs w:val="20"/>
        </w:rPr>
        <w:t>four pillars of</w:t>
      </w:r>
      <w:r>
        <w:rPr>
          <w:rFonts w:asciiTheme="minorHAnsi" w:hAnsiTheme="minorHAnsi" w:cstheme="minorHAnsi"/>
          <w:sz w:val="20"/>
          <w:szCs w:val="20"/>
        </w:rPr>
        <w:t xml:space="preserve"> the current</w:t>
      </w:r>
      <w:r w:rsidR="00E502EA" w:rsidRPr="00DC1DF8">
        <w:rPr>
          <w:rFonts w:asciiTheme="minorHAnsi" w:hAnsiTheme="minorHAnsi" w:cstheme="minorHAnsi"/>
          <w:sz w:val="20"/>
          <w:szCs w:val="20"/>
        </w:rPr>
        <w:t xml:space="preserve"> PSEA work provide the framework for the mechanism. These are:</w:t>
      </w:r>
    </w:p>
    <w:p w:rsidR="00EF1C91" w:rsidRPr="00DC1DF8" w:rsidRDefault="00EF1C91" w:rsidP="007F6CA1">
      <w:pPr>
        <w:numPr>
          <w:ilvl w:val="0"/>
          <w:numId w:val="5"/>
        </w:numPr>
        <w:spacing w:after="0"/>
        <w:rPr>
          <w:rFonts w:asciiTheme="minorHAnsi" w:hAnsiTheme="minorHAnsi" w:cstheme="minorHAnsi"/>
          <w:b/>
          <w:sz w:val="20"/>
          <w:szCs w:val="20"/>
        </w:rPr>
      </w:pPr>
      <w:r w:rsidRPr="00DC1DF8">
        <w:rPr>
          <w:rFonts w:asciiTheme="minorHAnsi" w:hAnsiTheme="minorHAnsi" w:cstheme="minorHAnsi"/>
          <w:b/>
          <w:sz w:val="20"/>
          <w:szCs w:val="20"/>
        </w:rPr>
        <w:t xml:space="preserve">Management and coordination: </w:t>
      </w:r>
      <w:r w:rsidRPr="00DC1DF8">
        <w:rPr>
          <w:rFonts w:asciiTheme="minorHAnsi" w:hAnsiTheme="minorHAnsi" w:cstheme="minorHAnsi"/>
          <w:sz w:val="20"/>
          <w:szCs w:val="20"/>
        </w:rPr>
        <w:t>Effective policy</w:t>
      </w:r>
      <w:r w:rsidR="00C54AC1">
        <w:rPr>
          <w:rFonts w:asciiTheme="minorHAnsi" w:hAnsiTheme="minorHAnsi" w:cstheme="minorHAnsi"/>
          <w:sz w:val="20"/>
          <w:szCs w:val="20"/>
        </w:rPr>
        <w:t xml:space="preserve"> development and</w:t>
      </w:r>
      <w:r w:rsidR="00A83CFA">
        <w:rPr>
          <w:rFonts w:asciiTheme="minorHAnsi" w:hAnsiTheme="minorHAnsi" w:cstheme="minorHAnsi"/>
          <w:sz w:val="20"/>
          <w:szCs w:val="20"/>
        </w:rPr>
        <w:t xml:space="preserve"> implementation; C</w:t>
      </w:r>
      <w:r w:rsidRPr="00DC1DF8">
        <w:rPr>
          <w:rFonts w:asciiTheme="minorHAnsi" w:hAnsiTheme="minorHAnsi" w:cstheme="minorHAnsi"/>
          <w:sz w:val="20"/>
          <w:szCs w:val="20"/>
        </w:rPr>
        <w:t>ooperative arrangements</w:t>
      </w:r>
      <w:r w:rsidR="00A83CFA">
        <w:rPr>
          <w:rFonts w:asciiTheme="minorHAnsi" w:hAnsiTheme="minorHAnsi" w:cstheme="minorHAnsi"/>
          <w:sz w:val="20"/>
          <w:szCs w:val="20"/>
        </w:rPr>
        <w:t>; D</w:t>
      </w:r>
      <w:r w:rsidRPr="00DC1DF8">
        <w:rPr>
          <w:rFonts w:asciiTheme="minorHAnsi" w:hAnsiTheme="minorHAnsi" w:cstheme="minorHAnsi"/>
          <w:sz w:val="20"/>
          <w:szCs w:val="20"/>
        </w:rPr>
        <w:t xml:space="preserve">edicated department </w:t>
      </w:r>
      <w:r w:rsidR="00367E33">
        <w:rPr>
          <w:rFonts w:asciiTheme="minorHAnsi" w:hAnsiTheme="minorHAnsi" w:cstheme="minorHAnsi"/>
          <w:sz w:val="20"/>
          <w:szCs w:val="20"/>
        </w:rPr>
        <w:t>/</w:t>
      </w:r>
      <w:r w:rsidR="00367E33" w:rsidRPr="00DC1DF8">
        <w:rPr>
          <w:rFonts w:asciiTheme="minorHAnsi" w:hAnsiTheme="minorHAnsi" w:cstheme="minorHAnsi"/>
          <w:sz w:val="20"/>
          <w:szCs w:val="20"/>
        </w:rPr>
        <w:t xml:space="preserve"> </w:t>
      </w:r>
      <w:r w:rsidRPr="00DC1DF8">
        <w:rPr>
          <w:rFonts w:asciiTheme="minorHAnsi" w:hAnsiTheme="minorHAnsi" w:cstheme="minorHAnsi"/>
          <w:sz w:val="20"/>
          <w:szCs w:val="20"/>
        </w:rPr>
        <w:t xml:space="preserve">focal point committed to PSEA. </w:t>
      </w:r>
    </w:p>
    <w:p w:rsidR="00E502EA" w:rsidRPr="00DC1DF8" w:rsidRDefault="00EF1C91" w:rsidP="007F6CA1">
      <w:pPr>
        <w:numPr>
          <w:ilvl w:val="0"/>
          <w:numId w:val="5"/>
        </w:numPr>
        <w:spacing w:after="0"/>
        <w:rPr>
          <w:rFonts w:asciiTheme="minorHAnsi" w:hAnsiTheme="minorHAnsi" w:cstheme="minorHAnsi"/>
          <w:b/>
          <w:sz w:val="20"/>
          <w:szCs w:val="20"/>
        </w:rPr>
      </w:pPr>
      <w:r w:rsidRPr="00DC1DF8">
        <w:rPr>
          <w:rFonts w:asciiTheme="minorHAnsi" w:hAnsiTheme="minorHAnsi" w:cstheme="minorHAnsi"/>
          <w:b/>
          <w:sz w:val="20"/>
          <w:szCs w:val="20"/>
        </w:rPr>
        <w:t>Engagement with and support of local community population</w:t>
      </w:r>
      <w:r w:rsidR="00E502EA" w:rsidRPr="00DC1DF8">
        <w:rPr>
          <w:rFonts w:asciiTheme="minorHAnsi" w:hAnsiTheme="minorHAnsi" w:cstheme="minorHAnsi"/>
          <w:b/>
          <w:sz w:val="20"/>
          <w:szCs w:val="20"/>
        </w:rPr>
        <w:t>:</w:t>
      </w:r>
      <w:r w:rsidR="00E502EA" w:rsidRPr="00DC1DF8">
        <w:rPr>
          <w:rFonts w:asciiTheme="minorHAnsi" w:hAnsiTheme="minorHAnsi" w:cstheme="minorHAnsi"/>
          <w:sz w:val="20"/>
          <w:szCs w:val="20"/>
        </w:rPr>
        <w:t xml:space="preserve"> </w:t>
      </w:r>
      <w:r w:rsidR="00BB0D4A" w:rsidRPr="00DC1DF8">
        <w:rPr>
          <w:rFonts w:asciiTheme="minorHAnsi" w:hAnsiTheme="minorHAnsi" w:cstheme="minorHAnsi"/>
          <w:sz w:val="20"/>
          <w:szCs w:val="20"/>
        </w:rPr>
        <w:t>Effective and comprehensive communication from HQ to the field on (a) what to do regarding raising beneficiary awareness on PSEA and (b) how to establish effective community</w:t>
      </w:r>
      <w:r w:rsidR="00BE4007">
        <w:rPr>
          <w:rFonts w:asciiTheme="minorHAnsi" w:hAnsiTheme="minorHAnsi" w:cstheme="minorHAnsi"/>
          <w:sz w:val="20"/>
          <w:szCs w:val="20"/>
        </w:rPr>
        <w:t>-based</w:t>
      </w:r>
      <w:r w:rsidR="00BB0D4A" w:rsidRPr="00DC1DF8">
        <w:rPr>
          <w:rFonts w:asciiTheme="minorHAnsi" w:hAnsiTheme="minorHAnsi" w:cstheme="minorHAnsi"/>
          <w:sz w:val="20"/>
          <w:szCs w:val="20"/>
        </w:rPr>
        <w:t xml:space="preserve"> complaints mechanisms.</w:t>
      </w:r>
    </w:p>
    <w:p w:rsidR="00E502EA" w:rsidRPr="00DC1DF8" w:rsidRDefault="00E502EA" w:rsidP="007F6CA1">
      <w:pPr>
        <w:numPr>
          <w:ilvl w:val="0"/>
          <w:numId w:val="5"/>
        </w:numPr>
        <w:spacing w:after="0"/>
        <w:rPr>
          <w:rFonts w:asciiTheme="minorHAnsi" w:hAnsiTheme="minorHAnsi" w:cstheme="minorHAnsi"/>
          <w:sz w:val="20"/>
          <w:szCs w:val="20"/>
        </w:rPr>
      </w:pPr>
      <w:r w:rsidRPr="00DC1DF8">
        <w:rPr>
          <w:rFonts w:asciiTheme="minorHAnsi" w:hAnsiTheme="minorHAnsi" w:cstheme="minorHAnsi"/>
          <w:b/>
          <w:sz w:val="20"/>
          <w:szCs w:val="20"/>
        </w:rPr>
        <w:t>Prevention:</w:t>
      </w:r>
      <w:r w:rsidR="00EF1C91" w:rsidRPr="00DC1DF8">
        <w:rPr>
          <w:rFonts w:asciiTheme="minorHAnsi" w:hAnsiTheme="minorHAnsi" w:cstheme="minorHAnsi"/>
          <w:sz w:val="20"/>
          <w:szCs w:val="20"/>
        </w:rPr>
        <w:t xml:space="preserve"> Effective and comprehensive mechanisms to ensure awareness-raising on SEA amongst</w:t>
      </w:r>
      <w:r w:rsidR="007C6B71" w:rsidRPr="00DC1DF8">
        <w:rPr>
          <w:rFonts w:asciiTheme="minorHAnsi" w:hAnsiTheme="minorHAnsi" w:cstheme="minorHAnsi"/>
          <w:sz w:val="20"/>
          <w:szCs w:val="20"/>
        </w:rPr>
        <w:t xml:space="preserve"> </w:t>
      </w:r>
      <w:r w:rsidR="00A83CFA">
        <w:rPr>
          <w:rFonts w:asciiTheme="minorHAnsi" w:hAnsiTheme="minorHAnsi" w:cstheme="minorHAnsi"/>
          <w:sz w:val="20"/>
          <w:szCs w:val="20"/>
        </w:rPr>
        <w:t xml:space="preserve">personnel; </w:t>
      </w:r>
      <w:r w:rsidR="00367E33">
        <w:rPr>
          <w:rFonts w:asciiTheme="minorHAnsi" w:hAnsiTheme="minorHAnsi" w:cstheme="minorHAnsi"/>
          <w:sz w:val="20"/>
          <w:szCs w:val="20"/>
        </w:rPr>
        <w:t>e</w:t>
      </w:r>
      <w:r w:rsidR="00A83CFA" w:rsidRPr="00A83CFA">
        <w:rPr>
          <w:rFonts w:asciiTheme="minorHAnsi" w:hAnsiTheme="minorHAnsi" w:cstheme="minorHAnsi"/>
          <w:sz w:val="20"/>
          <w:szCs w:val="20"/>
        </w:rPr>
        <w:t>ffective recruitment and performance management</w:t>
      </w:r>
      <w:r w:rsidR="00A83CFA">
        <w:rPr>
          <w:rFonts w:asciiTheme="minorHAnsi" w:hAnsiTheme="minorHAnsi" w:cstheme="minorHAnsi"/>
          <w:sz w:val="20"/>
          <w:szCs w:val="20"/>
        </w:rPr>
        <w:t>.</w:t>
      </w:r>
    </w:p>
    <w:p w:rsidR="00EF1C91" w:rsidRDefault="00E502EA" w:rsidP="004F2E46">
      <w:pPr>
        <w:numPr>
          <w:ilvl w:val="0"/>
          <w:numId w:val="5"/>
        </w:numPr>
        <w:spacing w:after="0"/>
        <w:rPr>
          <w:rFonts w:asciiTheme="minorHAnsi" w:hAnsiTheme="minorHAnsi" w:cstheme="minorHAnsi"/>
          <w:sz w:val="20"/>
          <w:szCs w:val="20"/>
        </w:rPr>
      </w:pPr>
      <w:r w:rsidRPr="00DC1DF8">
        <w:rPr>
          <w:rFonts w:asciiTheme="minorHAnsi" w:hAnsiTheme="minorHAnsi" w:cstheme="minorHAnsi"/>
          <w:b/>
          <w:sz w:val="20"/>
          <w:szCs w:val="20"/>
        </w:rPr>
        <w:t>Response:</w:t>
      </w:r>
      <w:r w:rsidR="004F2E46" w:rsidRPr="004F2E46">
        <w:t xml:space="preserve"> </w:t>
      </w:r>
      <w:r w:rsidR="004F2E46" w:rsidRPr="004F2E46">
        <w:rPr>
          <w:rFonts w:asciiTheme="minorHAnsi" w:hAnsiTheme="minorHAnsi" w:cstheme="minorHAnsi"/>
          <w:sz w:val="20"/>
          <w:szCs w:val="20"/>
        </w:rPr>
        <w:t>Internal complaints</w:t>
      </w:r>
      <w:r w:rsidR="004F2E46">
        <w:rPr>
          <w:rFonts w:asciiTheme="minorHAnsi" w:hAnsiTheme="minorHAnsi" w:cstheme="minorHAnsi"/>
          <w:sz w:val="20"/>
          <w:szCs w:val="20"/>
        </w:rPr>
        <w:t xml:space="preserve"> and investigation procedures are in</w:t>
      </w:r>
      <w:r w:rsidR="004F2E46" w:rsidRPr="004F2E46">
        <w:rPr>
          <w:rFonts w:asciiTheme="minorHAnsi" w:hAnsiTheme="minorHAnsi" w:cstheme="minorHAnsi"/>
          <w:sz w:val="20"/>
          <w:szCs w:val="20"/>
        </w:rPr>
        <w:t xml:space="preserve"> place</w:t>
      </w:r>
      <w:r w:rsidR="00EF1C91" w:rsidRPr="004F2E46">
        <w:rPr>
          <w:rFonts w:asciiTheme="minorHAnsi" w:hAnsiTheme="minorHAnsi" w:cstheme="minorHAnsi"/>
          <w:sz w:val="20"/>
          <w:szCs w:val="20"/>
        </w:rPr>
        <w:t>.</w:t>
      </w:r>
      <w:r w:rsidR="00EF1C91" w:rsidRPr="00DC1DF8">
        <w:rPr>
          <w:rFonts w:asciiTheme="minorHAnsi" w:hAnsiTheme="minorHAnsi" w:cstheme="minorHAnsi"/>
          <w:sz w:val="20"/>
          <w:szCs w:val="20"/>
        </w:rPr>
        <w:t xml:space="preserve"> </w:t>
      </w:r>
    </w:p>
    <w:p w:rsidR="00CF09D1" w:rsidRDefault="00CF09D1" w:rsidP="00CF09D1">
      <w:pPr>
        <w:spacing w:after="0"/>
        <w:ind w:left="720"/>
        <w:rPr>
          <w:rFonts w:asciiTheme="minorHAnsi" w:hAnsiTheme="minorHAnsi" w:cstheme="minorHAnsi"/>
          <w:sz w:val="20"/>
          <w:szCs w:val="20"/>
        </w:rPr>
      </w:pPr>
    </w:p>
    <w:p w:rsidR="005E3291" w:rsidRDefault="005E3291">
      <w:pPr>
        <w:rPr>
          <w:rFonts w:asciiTheme="minorHAnsi" w:hAnsiTheme="minorHAnsi" w:cstheme="minorHAnsi"/>
          <w:sz w:val="20"/>
          <w:szCs w:val="20"/>
        </w:rPr>
      </w:pPr>
      <w:r>
        <w:rPr>
          <w:rFonts w:asciiTheme="minorHAnsi" w:hAnsiTheme="minorHAnsi" w:cstheme="minorHAnsi"/>
          <w:sz w:val="20"/>
          <w:szCs w:val="20"/>
        </w:rPr>
        <w:br w:type="page"/>
      </w:r>
    </w:p>
    <w:p w:rsidR="007F6CA1" w:rsidRPr="00DC1DF8" w:rsidRDefault="007F6CA1" w:rsidP="007F6CA1">
      <w:pPr>
        <w:spacing w:after="120"/>
        <w:ind w:left="720"/>
        <w:rPr>
          <w:rFonts w:asciiTheme="minorHAnsi" w:hAnsiTheme="minorHAnsi" w:cstheme="minorHAnsi"/>
          <w:sz w:val="20"/>
          <w:szCs w:val="20"/>
        </w:rPr>
      </w:pPr>
    </w:p>
    <w:tbl>
      <w:tblPr>
        <w:tblW w:w="1238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6"/>
        <w:gridCol w:w="4500"/>
        <w:gridCol w:w="7470"/>
      </w:tblGrid>
      <w:tr w:rsidR="00315ED2" w:rsidRPr="00DC1DF8" w:rsidTr="00315ED2">
        <w:trPr>
          <w:trHeight w:val="460"/>
          <w:tblHeader/>
        </w:trPr>
        <w:tc>
          <w:tcPr>
            <w:tcW w:w="416" w:type="dxa"/>
            <w:tcBorders>
              <w:bottom w:val="single" w:sz="4" w:space="0" w:color="auto"/>
            </w:tcBorders>
            <w:shd w:val="clear" w:color="auto" w:fill="DBE5F1" w:themeFill="accent1" w:themeFillTint="33"/>
          </w:tcPr>
          <w:p w:rsidR="00315ED2" w:rsidRPr="00DC1DF8" w:rsidRDefault="00315ED2" w:rsidP="00EF5984">
            <w:pPr>
              <w:jc w:val="center"/>
              <w:rPr>
                <w:rFonts w:asciiTheme="minorHAnsi" w:hAnsiTheme="minorHAnsi" w:cstheme="minorHAnsi"/>
                <w:b/>
                <w:sz w:val="20"/>
                <w:szCs w:val="20"/>
              </w:rPr>
            </w:pPr>
          </w:p>
        </w:tc>
        <w:tc>
          <w:tcPr>
            <w:tcW w:w="4500" w:type="dxa"/>
            <w:tcBorders>
              <w:bottom w:val="single" w:sz="4" w:space="0" w:color="auto"/>
            </w:tcBorders>
            <w:shd w:val="clear" w:color="auto" w:fill="DBE5F1" w:themeFill="accent1" w:themeFillTint="33"/>
          </w:tcPr>
          <w:p w:rsidR="00315ED2" w:rsidRPr="005E3291" w:rsidRDefault="00315ED2" w:rsidP="00EF5984">
            <w:pPr>
              <w:rPr>
                <w:rFonts w:asciiTheme="minorHAnsi" w:hAnsiTheme="minorHAnsi" w:cstheme="minorHAnsi"/>
                <w:b/>
                <w:sz w:val="24"/>
                <w:szCs w:val="20"/>
              </w:rPr>
            </w:pPr>
            <w:r w:rsidRPr="005E3291">
              <w:rPr>
                <w:rFonts w:asciiTheme="minorHAnsi" w:hAnsiTheme="minorHAnsi" w:cstheme="minorHAnsi"/>
                <w:b/>
                <w:sz w:val="24"/>
                <w:szCs w:val="20"/>
              </w:rPr>
              <w:t>PSEA Minimum Operating Standards</w:t>
            </w:r>
          </w:p>
        </w:tc>
        <w:tc>
          <w:tcPr>
            <w:tcW w:w="7470" w:type="dxa"/>
            <w:tcBorders>
              <w:bottom w:val="single" w:sz="4" w:space="0" w:color="auto"/>
            </w:tcBorders>
            <w:shd w:val="clear" w:color="auto" w:fill="DBE5F1" w:themeFill="accent1" w:themeFillTint="33"/>
          </w:tcPr>
          <w:p w:rsidR="00315ED2" w:rsidRPr="00DC1DF8" w:rsidRDefault="00315ED2" w:rsidP="00EF5984">
            <w:pPr>
              <w:rPr>
                <w:rFonts w:asciiTheme="minorHAnsi" w:hAnsiTheme="minorHAnsi" w:cstheme="minorHAnsi"/>
                <w:b/>
                <w:sz w:val="20"/>
                <w:szCs w:val="20"/>
              </w:rPr>
            </w:pPr>
            <w:r w:rsidRPr="00DC1DF8">
              <w:rPr>
                <w:rFonts w:asciiTheme="minorHAnsi" w:hAnsiTheme="minorHAnsi" w:cstheme="minorHAnsi"/>
                <w:b/>
                <w:sz w:val="20"/>
                <w:szCs w:val="20"/>
              </w:rPr>
              <w:t>Key Indicators</w:t>
            </w:r>
          </w:p>
        </w:tc>
      </w:tr>
      <w:tr w:rsidR="00315ED2" w:rsidRPr="00DC1DF8" w:rsidTr="00315ED2">
        <w:trPr>
          <w:trHeight w:val="460"/>
        </w:trPr>
        <w:tc>
          <w:tcPr>
            <w:tcW w:w="416" w:type="dxa"/>
            <w:tcBorders>
              <w:bottom w:val="single" w:sz="4" w:space="0" w:color="auto"/>
            </w:tcBorders>
          </w:tcPr>
          <w:p w:rsidR="00315ED2" w:rsidRPr="00DC1DF8" w:rsidRDefault="00315ED2" w:rsidP="00EF5984">
            <w:pPr>
              <w:jc w:val="center"/>
              <w:rPr>
                <w:rFonts w:asciiTheme="minorHAnsi" w:hAnsiTheme="minorHAnsi" w:cstheme="minorHAnsi"/>
                <w:sz w:val="20"/>
                <w:szCs w:val="20"/>
              </w:rPr>
            </w:pPr>
            <w:r w:rsidRPr="00DC1DF8">
              <w:rPr>
                <w:rFonts w:asciiTheme="minorHAnsi" w:hAnsiTheme="minorHAnsi" w:cstheme="minorHAnsi"/>
                <w:sz w:val="20"/>
                <w:szCs w:val="20"/>
              </w:rPr>
              <w:t>1</w:t>
            </w:r>
          </w:p>
        </w:tc>
        <w:tc>
          <w:tcPr>
            <w:tcW w:w="4500" w:type="dxa"/>
            <w:tcBorders>
              <w:bottom w:val="single" w:sz="4" w:space="0" w:color="auto"/>
            </w:tcBorders>
          </w:tcPr>
          <w:p w:rsidR="00315ED2" w:rsidRPr="005E3291" w:rsidRDefault="00315ED2" w:rsidP="008D0938">
            <w:pPr>
              <w:rPr>
                <w:rFonts w:asciiTheme="minorHAnsi" w:hAnsiTheme="minorHAnsi" w:cstheme="minorHAnsi"/>
                <w:b/>
                <w:sz w:val="24"/>
                <w:szCs w:val="20"/>
              </w:rPr>
            </w:pPr>
            <w:r w:rsidRPr="005E3291">
              <w:rPr>
                <w:rFonts w:asciiTheme="minorHAnsi" w:hAnsiTheme="minorHAnsi" w:cstheme="minorHAnsi"/>
                <w:b/>
                <w:sz w:val="24"/>
                <w:szCs w:val="20"/>
              </w:rPr>
              <w:t xml:space="preserve">Effective Policy Development and Implementation </w:t>
            </w:r>
          </w:p>
          <w:p w:rsidR="00315ED2" w:rsidRPr="005E3291" w:rsidRDefault="00315ED2" w:rsidP="00EF5984">
            <w:pPr>
              <w:rPr>
                <w:rFonts w:asciiTheme="minorHAnsi" w:hAnsiTheme="minorHAnsi" w:cstheme="minorHAnsi"/>
                <w:b/>
                <w:sz w:val="24"/>
                <w:szCs w:val="20"/>
              </w:rPr>
            </w:pPr>
          </w:p>
        </w:tc>
        <w:tc>
          <w:tcPr>
            <w:tcW w:w="7470" w:type="dxa"/>
            <w:tcBorders>
              <w:bottom w:val="single" w:sz="4" w:space="0" w:color="auto"/>
            </w:tcBorders>
          </w:tcPr>
          <w:p w:rsidR="00315ED2" w:rsidRDefault="00315ED2" w:rsidP="00BA28B2">
            <w:pPr>
              <w:numPr>
                <w:ilvl w:val="0"/>
                <w:numId w:val="9"/>
              </w:numPr>
              <w:rPr>
                <w:rFonts w:asciiTheme="minorHAnsi" w:hAnsiTheme="minorHAnsi" w:cstheme="minorHAnsi"/>
                <w:sz w:val="20"/>
                <w:szCs w:val="20"/>
              </w:rPr>
            </w:pPr>
            <w:r w:rsidRPr="00BA28B2">
              <w:rPr>
                <w:rFonts w:asciiTheme="minorHAnsi" w:hAnsiTheme="minorHAnsi" w:cstheme="minorHAnsi"/>
                <w:sz w:val="20"/>
                <w:szCs w:val="20"/>
              </w:rPr>
              <w:t xml:space="preserve">A policy stating standards of conduct, including acts of SEA, exists and </w:t>
            </w:r>
            <w:r>
              <w:rPr>
                <w:rFonts w:asciiTheme="minorHAnsi" w:hAnsiTheme="minorHAnsi" w:cstheme="minorHAnsi"/>
                <w:sz w:val="20"/>
                <w:szCs w:val="20"/>
              </w:rPr>
              <w:t>a work plan to implement the policy is in place</w:t>
            </w:r>
            <w:r w:rsidRPr="00BA28B2">
              <w:rPr>
                <w:rFonts w:asciiTheme="minorHAnsi" w:hAnsiTheme="minorHAnsi" w:cstheme="minorHAnsi"/>
                <w:sz w:val="20"/>
                <w:szCs w:val="20"/>
              </w:rPr>
              <w:t xml:space="preserve">. </w:t>
            </w:r>
          </w:p>
          <w:p w:rsidR="00315ED2" w:rsidRPr="00F3544F" w:rsidRDefault="00315ED2" w:rsidP="00F3544F">
            <w:pPr>
              <w:numPr>
                <w:ilvl w:val="0"/>
                <w:numId w:val="9"/>
              </w:numPr>
              <w:rPr>
                <w:rFonts w:asciiTheme="minorHAnsi" w:hAnsiTheme="minorHAnsi" w:cstheme="minorHAnsi"/>
                <w:sz w:val="20"/>
                <w:szCs w:val="20"/>
              </w:rPr>
            </w:pPr>
            <w:r w:rsidRPr="00F3544F">
              <w:rPr>
                <w:rFonts w:asciiTheme="minorHAnsi" w:hAnsiTheme="minorHAnsi" w:cstheme="minorHAnsi"/>
                <w:sz w:val="20"/>
                <w:szCs w:val="20"/>
              </w:rPr>
              <w:t xml:space="preserve">The </w:t>
            </w:r>
            <w:r>
              <w:rPr>
                <w:rFonts w:asciiTheme="minorHAnsi" w:hAnsiTheme="minorHAnsi" w:cstheme="minorHAnsi"/>
                <w:sz w:val="20"/>
                <w:szCs w:val="20"/>
              </w:rPr>
              <w:t>policy/</w:t>
            </w:r>
            <w:r w:rsidRPr="00F3544F">
              <w:rPr>
                <w:rFonts w:asciiTheme="minorHAnsi" w:hAnsiTheme="minorHAnsi" w:cstheme="minorHAnsi"/>
                <w:sz w:val="20"/>
                <w:szCs w:val="20"/>
              </w:rPr>
              <w:t xml:space="preserve">standards of conduct have been conveyed to current staff and senior management (at HQ and field level) </w:t>
            </w:r>
            <w:r w:rsidRPr="00F3544F">
              <w:rPr>
                <w:rFonts w:asciiTheme="minorHAnsi" w:hAnsiTheme="minorHAnsi" w:cstheme="minorHAnsi"/>
                <w:sz w:val="20"/>
                <w:szCs w:val="20"/>
                <w:u w:val="single"/>
              </w:rPr>
              <w:t>on repeated occasions</w:t>
            </w:r>
            <w:r>
              <w:rPr>
                <w:rFonts w:asciiTheme="minorHAnsi" w:hAnsiTheme="minorHAnsi" w:cstheme="minorHAnsi"/>
                <w:sz w:val="20"/>
                <w:szCs w:val="20"/>
                <w:u w:val="single"/>
              </w:rPr>
              <w:t xml:space="preserve"> (such as inductions and refresher trainings)</w:t>
            </w:r>
            <w:r w:rsidRPr="00F3544F">
              <w:rPr>
                <w:rFonts w:asciiTheme="minorHAnsi" w:hAnsiTheme="minorHAnsi" w:cstheme="minorHAnsi"/>
                <w:sz w:val="20"/>
                <w:szCs w:val="20"/>
              </w:rPr>
              <w:t>.</w:t>
            </w:r>
          </w:p>
        </w:tc>
      </w:tr>
      <w:tr w:rsidR="00315ED2" w:rsidRPr="00DC1DF8" w:rsidTr="00315ED2">
        <w:trPr>
          <w:trHeight w:val="460"/>
        </w:trPr>
        <w:tc>
          <w:tcPr>
            <w:tcW w:w="416" w:type="dxa"/>
            <w:tcBorders>
              <w:bottom w:val="single" w:sz="4" w:space="0" w:color="auto"/>
            </w:tcBorders>
          </w:tcPr>
          <w:p w:rsidR="00315ED2" w:rsidRPr="00DC1DF8" w:rsidRDefault="00315ED2" w:rsidP="00EF5984">
            <w:pPr>
              <w:jc w:val="center"/>
              <w:rPr>
                <w:rFonts w:asciiTheme="minorHAnsi" w:hAnsiTheme="minorHAnsi" w:cstheme="minorHAnsi"/>
                <w:sz w:val="20"/>
                <w:szCs w:val="20"/>
              </w:rPr>
            </w:pPr>
            <w:r w:rsidRPr="00DC1DF8">
              <w:rPr>
                <w:rFonts w:asciiTheme="minorHAnsi" w:hAnsiTheme="minorHAnsi" w:cstheme="minorHAnsi"/>
                <w:sz w:val="20"/>
                <w:szCs w:val="20"/>
              </w:rPr>
              <w:t>2</w:t>
            </w:r>
          </w:p>
        </w:tc>
        <w:tc>
          <w:tcPr>
            <w:tcW w:w="4500" w:type="dxa"/>
            <w:tcBorders>
              <w:bottom w:val="single" w:sz="4" w:space="0" w:color="auto"/>
            </w:tcBorders>
          </w:tcPr>
          <w:p w:rsidR="00315ED2" w:rsidRPr="005E3291" w:rsidRDefault="00315ED2" w:rsidP="0073324F">
            <w:pPr>
              <w:rPr>
                <w:rFonts w:asciiTheme="minorHAnsi" w:hAnsiTheme="minorHAnsi" w:cstheme="minorHAnsi"/>
                <w:b/>
                <w:sz w:val="24"/>
                <w:szCs w:val="20"/>
              </w:rPr>
            </w:pPr>
            <w:r w:rsidRPr="005E3291">
              <w:rPr>
                <w:rFonts w:asciiTheme="minorHAnsi" w:hAnsiTheme="minorHAnsi" w:cstheme="minorHAnsi"/>
                <w:b/>
                <w:sz w:val="24"/>
                <w:szCs w:val="20"/>
              </w:rPr>
              <w:t>Cooperative Arrangements</w:t>
            </w:r>
          </w:p>
          <w:p w:rsidR="00315ED2" w:rsidRPr="005E3291" w:rsidRDefault="00315ED2" w:rsidP="0073324F">
            <w:pPr>
              <w:rPr>
                <w:rFonts w:asciiTheme="minorHAnsi" w:hAnsiTheme="minorHAnsi" w:cstheme="minorHAnsi"/>
                <w:sz w:val="24"/>
                <w:szCs w:val="20"/>
              </w:rPr>
            </w:pPr>
          </w:p>
        </w:tc>
        <w:tc>
          <w:tcPr>
            <w:tcW w:w="7470" w:type="dxa"/>
            <w:tcBorders>
              <w:bottom w:val="single" w:sz="4" w:space="0" w:color="auto"/>
            </w:tcBorders>
          </w:tcPr>
          <w:p w:rsidR="00315ED2" w:rsidRDefault="00315ED2" w:rsidP="0073324F">
            <w:pPr>
              <w:numPr>
                <w:ilvl w:val="0"/>
                <w:numId w:val="9"/>
              </w:numPr>
              <w:rPr>
                <w:rFonts w:asciiTheme="minorHAnsi" w:hAnsiTheme="minorHAnsi" w:cstheme="minorHAnsi"/>
                <w:sz w:val="20"/>
                <w:szCs w:val="20"/>
              </w:rPr>
            </w:pPr>
            <w:r w:rsidRPr="00EA0502">
              <w:rPr>
                <w:rFonts w:asciiTheme="minorHAnsi" w:hAnsiTheme="minorHAnsi" w:cstheme="minorHAnsi"/>
                <w:sz w:val="20"/>
                <w:szCs w:val="20"/>
              </w:rPr>
              <w:t xml:space="preserve">SG’s Bulletin (ST/SGB/2003/13) or respective codes of conduct are </w:t>
            </w:r>
            <w:r>
              <w:rPr>
                <w:rFonts w:asciiTheme="minorHAnsi" w:hAnsiTheme="minorHAnsi" w:cstheme="minorHAnsi"/>
                <w:sz w:val="20"/>
                <w:szCs w:val="20"/>
              </w:rPr>
              <w:t>included in</w:t>
            </w:r>
            <w:r w:rsidRPr="00EA0502">
              <w:rPr>
                <w:rFonts w:asciiTheme="minorHAnsi" w:hAnsiTheme="minorHAnsi" w:cstheme="minorHAnsi"/>
                <w:sz w:val="20"/>
                <w:szCs w:val="20"/>
              </w:rPr>
              <w:t xml:space="preserve"> general contract conditions.</w:t>
            </w:r>
          </w:p>
          <w:p w:rsidR="00315ED2" w:rsidRPr="007F6CA1" w:rsidRDefault="00315ED2" w:rsidP="007F6CA1">
            <w:pPr>
              <w:numPr>
                <w:ilvl w:val="0"/>
                <w:numId w:val="9"/>
              </w:numPr>
              <w:rPr>
                <w:rFonts w:asciiTheme="minorHAnsi" w:hAnsiTheme="minorHAnsi" w:cstheme="minorHAnsi"/>
                <w:sz w:val="20"/>
                <w:szCs w:val="20"/>
              </w:rPr>
            </w:pPr>
            <w:r w:rsidRPr="00DC1DF8">
              <w:rPr>
                <w:rFonts w:asciiTheme="minorHAnsi" w:hAnsiTheme="minorHAnsi" w:cstheme="minorHAnsi"/>
                <w:sz w:val="20"/>
                <w:szCs w:val="20"/>
              </w:rPr>
              <w:t>Procedures are in place to receive written agreement from entities or individuals entering into cooperative arrangements with the agency that they are aware of and will abide by the standards of the PSEA policy.</w:t>
            </w:r>
          </w:p>
        </w:tc>
      </w:tr>
      <w:tr w:rsidR="00315ED2" w:rsidRPr="00DC1DF8" w:rsidTr="00315ED2">
        <w:trPr>
          <w:trHeight w:val="3230"/>
        </w:trPr>
        <w:tc>
          <w:tcPr>
            <w:tcW w:w="416" w:type="dxa"/>
            <w:tcBorders>
              <w:bottom w:val="single" w:sz="4" w:space="0" w:color="auto"/>
            </w:tcBorders>
          </w:tcPr>
          <w:p w:rsidR="00315ED2" w:rsidRPr="00DC1DF8" w:rsidRDefault="00315ED2" w:rsidP="00EF5984">
            <w:pPr>
              <w:jc w:val="center"/>
              <w:rPr>
                <w:rFonts w:asciiTheme="minorHAnsi" w:hAnsiTheme="minorHAnsi" w:cstheme="minorHAnsi"/>
                <w:sz w:val="20"/>
                <w:szCs w:val="20"/>
              </w:rPr>
            </w:pPr>
            <w:r w:rsidRPr="00DC1DF8">
              <w:rPr>
                <w:rFonts w:asciiTheme="minorHAnsi" w:hAnsiTheme="minorHAnsi" w:cstheme="minorHAnsi"/>
                <w:sz w:val="20"/>
                <w:szCs w:val="20"/>
              </w:rPr>
              <w:t>3</w:t>
            </w:r>
          </w:p>
        </w:tc>
        <w:tc>
          <w:tcPr>
            <w:tcW w:w="4500" w:type="dxa"/>
            <w:tcBorders>
              <w:bottom w:val="single" w:sz="4" w:space="0" w:color="auto"/>
            </w:tcBorders>
          </w:tcPr>
          <w:p w:rsidR="00315ED2" w:rsidRPr="005E3291" w:rsidRDefault="00315ED2" w:rsidP="00E94BDD">
            <w:pPr>
              <w:rPr>
                <w:rFonts w:asciiTheme="minorHAnsi" w:hAnsiTheme="minorHAnsi" w:cstheme="minorHAnsi"/>
                <w:b/>
                <w:sz w:val="24"/>
                <w:szCs w:val="20"/>
              </w:rPr>
            </w:pPr>
            <w:r w:rsidRPr="005E3291">
              <w:rPr>
                <w:rFonts w:asciiTheme="minorHAnsi" w:hAnsiTheme="minorHAnsi" w:cstheme="minorHAnsi"/>
                <w:b/>
                <w:sz w:val="24"/>
                <w:szCs w:val="20"/>
              </w:rPr>
              <w:t>A dedicated department/focal point is committed to PSEA</w:t>
            </w:r>
          </w:p>
        </w:tc>
        <w:tc>
          <w:tcPr>
            <w:tcW w:w="7470" w:type="dxa"/>
            <w:tcBorders>
              <w:bottom w:val="single" w:sz="4" w:space="0" w:color="auto"/>
            </w:tcBorders>
          </w:tcPr>
          <w:p w:rsidR="00315ED2" w:rsidRPr="00DC1DF8" w:rsidRDefault="00315ED2" w:rsidP="00872506">
            <w:pPr>
              <w:numPr>
                <w:ilvl w:val="0"/>
                <w:numId w:val="13"/>
              </w:numPr>
              <w:rPr>
                <w:rFonts w:asciiTheme="minorHAnsi" w:hAnsiTheme="minorHAnsi" w:cstheme="minorHAnsi"/>
                <w:sz w:val="20"/>
                <w:szCs w:val="20"/>
              </w:rPr>
            </w:pPr>
            <w:r w:rsidRPr="00DC1DF8">
              <w:rPr>
                <w:rFonts w:asciiTheme="minorHAnsi" w:hAnsiTheme="minorHAnsi" w:cstheme="minorHAnsi"/>
                <w:sz w:val="20"/>
                <w:szCs w:val="20"/>
              </w:rPr>
              <w:t>A dedicated department</w:t>
            </w:r>
            <w:r>
              <w:rPr>
                <w:rFonts w:asciiTheme="minorHAnsi" w:hAnsiTheme="minorHAnsi" w:cstheme="minorHAnsi"/>
                <w:sz w:val="20"/>
                <w:szCs w:val="20"/>
              </w:rPr>
              <w:t>/focal point</w:t>
            </w:r>
            <w:r w:rsidRPr="00DC1DF8">
              <w:rPr>
                <w:rFonts w:asciiTheme="minorHAnsi" w:hAnsiTheme="minorHAnsi" w:cstheme="minorHAnsi"/>
                <w:sz w:val="20"/>
                <w:szCs w:val="20"/>
              </w:rPr>
              <w:t xml:space="preserve"> have the overall responsibility for the development and implementation of PSEA policy and activities.</w:t>
            </w:r>
          </w:p>
          <w:p w:rsidR="00315ED2" w:rsidRPr="00BF7EA8" w:rsidRDefault="00315ED2" w:rsidP="003C1D83">
            <w:pPr>
              <w:numPr>
                <w:ilvl w:val="0"/>
                <w:numId w:val="13"/>
              </w:numPr>
              <w:rPr>
                <w:rFonts w:asciiTheme="minorHAnsi" w:hAnsiTheme="minorHAnsi" w:cstheme="minorHAnsi"/>
                <w:sz w:val="20"/>
                <w:szCs w:val="20"/>
              </w:rPr>
            </w:pPr>
            <w:r w:rsidRPr="00DC1DF8">
              <w:rPr>
                <w:rFonts w:asciiTheme="minorHAnsi" w:hAnsiTheme="minorHAnsi" w:cstheme="minorHAnsi"/>
                <w:sz w:val="20"/>
                <w:szCs w:val="20"/>
              </w:rPr>
              <w:t xml:space="preserve">The </w:t>
            </w:r>
            <w:r>
              <w:rPr>
                <w:rFonts w:asciiTheme="minorHAnsi" w:hAnsiTheme="minorHAnsi" w:cstheme="minorHAnsi"/>
                <w:sz w:val="20"/>
                <w:szCs w:val="20"/>
              </w:rPr>
              <w:t xml:space="preserve">responsible </w:t>
            </w:r>
            <w:r w:rsidRPr="00DC1DF8">
              <w:rPr>
                <w:rFonts w:asciiTheme="minorHAnsi" w:hAnsiTheme="minorHAnsi" w:cstheme="minorHAnsi"/>
                <w:sz w:val="20"/>
                <w:szCs w:val="20"/>
              </w:rPr>
              <w:t>department</w:t>
            </w:r>
            <w:r>
              <w:rPr>
                <w:rFonts w:asciiTheme="minorHAnsi" w:hAnsiTheme="minorHAnsi" w:cstheme="minorHAnsi"/>
                <w:sz w:val="20"/>
                <w:szCs w:val="20"/>
              </w:rPr>
              <w:t>/focal point</w:t>
            </w:r>
            <w:r w:rsidRPr="00DC1DF8">
              <w:rPr>
                <w:rFonts w:asciiTheme="minorHAnsi" w:hAnsiTheme="minorHAnsi" w:cstheme="minorHAnsi"/>
                <w:sz w:val="20"/>
                <w:szCs w:val="20"/>
              </w:rPr>
              <w:t xml:space="preserve"> is required to regularly report to senior management on </w:t>
            </w:r>
            <w:r>
              <w:rPr>
                <w:rFonts w:asciiTheme="minorHAnsi" w:hAnsiTheme="minorHAnsi" w:cstheme="minorHAnsi"/>
                <w:sz w:val="20"/>
                <w:szCs w:val="20"/>
              </w:rPr>
              <w:t>its</w:t>
            </w:r>
            <w:r w:rsidRPr="00DC1DF8">
              <w:rPr>
                <w:rFonts w:asciiTheme="minorHAnsi" w:hAnsiTheme="minorHAnsi" w:cstheme="minorHAnsi"/>
                <w:sz w:val="20"/>
                <w:szCs w:val="20"/>
              </w:rPr>
              <w:t xml:space="preserve"> progress</w:t>
            </w:r>
            <w:r>
              <w:rPr>
                <w:rFonts w:asciiTheme="minorHAnsi" w:hAnsiTheme="minorHAnsi" w:cstheme="minorHAnsi"/>
                <w:sz w:val="20"/>
                <w:szCs w:val="20"/>
              </w:rPr>
              <w:t xml:space="preserve"> on PSEA through the Senior Focal Point on PSEA.</w:t>
            </w:r>
          </w:p>
          <w:p w:rsidR="00315ED2" w:rsidRDefault="00315ED2" w:rsidP="000C478D">
            <w:pPr>
              <w:numPr>
                <w:ilvl w:val="0"/>
                <w:numId w:val="13"/>
              </w:numPr>
              <w:rPr>
                <w:rFonts w:asciiTheme="minorHAnsi" w:hAnsiTheme="minorHAnsi" w:cstheme="minorHAnsi"/>
                <w:sz w:val="20"/>
                <w:szCs w:val="20"/>
              </w:rPr>
            </w:pPr>
            <w:r>
              <w:rPr>
                <w:rFonts w:asciiTheme="minorHAnsi" w:hAnsiTheme="minorHAnsi" w:cstheme="minorHAnsi"/>
                <w:sz w:val="20"/>
                <w:szCs w:val="20"/>
              </w:rPr>
              <w:t>Staff members dealing with PSEA</w:t>
            </w:r>
            <w:r w:rsidRPr="00DC1DF8">
              <w:rPr>
                <w:rFonts w:asciiTheme="minorHAnsi" w:hAnsiTheme="minorHAnsi" w:cstheme="minorHAnsi"/>
                <w:sz w:val="20"/>
                <w:szCs w:val="20"/>
              </w:rPr>
              <w:t xml:space="preserve"> have formalised responsibility for PSEA in their job description, pe</w:t>
            </w:r>
            <w:r>
              <w:rPr>
                <w:rFonts w:asciiTheme="minorHAnsi" w:hAnsiTheme="minorHAnsi" w:cstheme="minorHAnsi"/>
                <w:sz w:val="20"/>
                <w:szCs w:val="20"/>
              </w:rPr>
              <w:t xml:space="preserve">rformance appraisal or similar. </w:t>
            </w:r>
          </w:p>
          <w:p w:rsidR="00315ED2" w:rsidRPr="00DC1DF8" w:rsidRDefault="00315ED2" w:rsidP="0036023B">
            <w:pPr>
              <w:numPr>
                <w:ilvl w:val="0"/>
                <w:numId w:val="13"/>
              </w:numPr>
              <w:rPr>
                <w:rFonts w:asciiTheme="minorHAnsi" w:hAnsiTheme="minorHAnsi" w:cstheme="minorHAnsi"/>
                <w:sz w:val="20"/>
                <w:szCs w:val="20"/>
              </w:rPr>
            </w:pPr>
            <w:r w:rsidRPr="0036023B">
              <w:rPr>
                <w:rFonts w:asciiTheme="minorHAnsi" w:hAnsiTheme="minorHAnsi" w:cstheme="minorHAnsi"/>
                <w:sz w:val="20"/>
                <w:szCs w:val="20"/>
              </w:rPr>
              <w:t>They have received systematised training on PSEA and the time committed to PSEA is commensurate with the scale of implementation required under the current situation of the organisation.</w:t>
            </w:r>
          </w:p>
        </w:tc>
      </w:tr>
      <w:tr w:rsidR="00315ED2" w:rsidRPr="00DC1DF8" w:rsidTr="00315ED2">
        <w:trPr>
          <w:trHeight w:val="1380"/>
        </w:trPr>
        <w:tc>
          <w:tcPr>
            <w:tcW w:w="416" w:type="dxa"/>
          </w:tcPr>
          <w:p w:rsidR="00315ED2" w:rsidRPr="00DC1DF8" w:rsidRDefault="00315ED2" w:rsidP="008320AD">
            <w:pPr>
              <w:spacing w:after="0" w:line="240" w:lineRule="auto"/>
              <w:ind w:left="180"/>
              <w:jc w:val="center"/>
              <w:rPr>
                <w:rFonts w:asciiTheme="minorHAnsi" w:hAnsiTheme="minorHAnsi" w:cstheme="minorHAnsi"/>
                <w:sz w:val="20"/>
                <w:szCs w:val="20"/>
              </w:rPr>
            </w:pPr>
            <w:r w:rsidRPr="00DC1DF8">
              <w:rPr>
                <w:rFonts w:asciiTheme="minorHAnsi" w:hAnsiTheme="minorHAnsi" w:cstheme="minorHAnsi"/>
                <w:sz w:val="20"/>
                <w:szCs w:val="20"/>
              </w:rPr>
              <w:lastRenderedPageBreak/>
              <w:t>4</w:t>
            </w:r>
          </w:p>
        </w:tc>
        <w:tc>
          <w:tcPr>
            <w:tcW w:w="4500" w:type="dxa"/>
          </w:tcPr>
          <w:p w:rsidR="00315ED2" w:rsidRPr="005E3291" w:rsidRDefault="00315ED2" w:rsidP="00EF5984">
            <w:pPr>
              <w:rPr>
                <w:rFonts w:asciiTheme="minorHAnsi" w:hAnsiTheme="minorHAnsi" w:cstheme="minorHAnsi"/>
                <w:b/>
                <w:sz w:val="24"/>
                <w:szCs w:val="20"/>
              </w:rPr>
            </w:pPr>
            <w:r w:rsidRPr="005E3291">
              <w:rPr>
                <w:rFonts w:asciiTheme="minorHAnsi" w:hAnsiTheme="minorHAnsi" w:cstheme="minorHAnsi"/>
                <w:b/>
                <w:sz w:val="24"/>
                <w:szCs w:val="20"/>
              </w:rPr>
              <w:t>Effective and comprehensive communication from HQ to the field on expectations regarding raising beneficiary awareness on PSEA</w:t>
            </w:r>
          </w:p>
          <w:p w:rsidR="00315ED2" w:rsidRPr="005E3291" w:rsidRDefault="00315ED2" w:rsidP="00EF5984">
            <w:pPr>
              <w:rPr>
                <w:rFonts w:asciiTheme="minorHAnsi" w:hAnsiTheme="minorHAnsi" w:cstheme="minorHAnsi"/>
                <w:sz w:val="24"/>
                <w:szCs w:val="20"/>
              </w:rPr>
            </w:pPr>
          </w:p>
        </w:tc>
        <w:tc>
          <w:tcPr>
            <w:tcW w:w="7470" w:type="dxa"/>
          </w:tcPr>
          <w:p w:rsidR="00315ED2" w:rsidRPr="00580468" w:rsidRDefault="00315ED2" w:rsidP="00580468">
            <w:pPr>
              <w:numPr>
                <w:ilvl w:val="0"/>
                <w:numId w:val="9"/>
              </w:numPr>
              <w:rPr>
                <w:rFonts w:asciiTheme="minorHAnsi" w:hAnsiTheme="minorHAnsi" w:cstheme="minorHAnsi"/>
                <w:sz w:val="20"/>
                <w:szCs w:val="20"/>
              </w:rPr>
            </w:pPr>
            <w:r w:rsidRPr="00DC1DF8">
              <w:rPr>
                <w:rFonts w:asciiTheme="minorHAnsi" w:hAnsiTheme="minorHAnsi" w:cstheme="minorHAnsi"/>
                <w:sz w:val="20"/>
                <w:szCs w:val="20"/>
              </w:rPr>
              <w:t>The HQ has communicated</w:t>
            </w:r>
            <w:r>
              <w:rPr>
                <w:rFonts w:asciiTheme="minorHAnsi" w:hAnsiTheme="minorHAnsi" w:cstheme="minorHAnsi"/>
                <w:sz w:val="20"/>
                <w:szCs w:val="20"/>
              </w:rPr>
              <w:t xml:space="preserve"> in detail the expectations regarding beneficiary awareness raising efforts on PSEA (</w:t>
            </w:r>
            <w:r w:rsidRPr="00580468">
              <w:rPr>
                <w:rFonts w:asciiTheme="minorHAnsi" w:hAnsiTheme="minorHAnsi" w:cstheme="minorHAnsi"/>
                <w:sz w:val="20"/>
                <w:szCs w:val="20"/>
              </w:rPr>
              <w:t>includi</w:t>
            </w:r>
            <w:r>
              <w:rPr>
                <w:rFonts w:asciiTheme="minorHAnsi" w:hAnsiTheme="minorHAnsi" w:cstheme="minorHAnsi"/>
                <w:sz w:val="20"/>
                <w:szCs w:val="20"/>
              </w:rPr>
              <w:t>ng information on</w:t>
            </w:r>
            <w:r w:rsidRPr="00580468">
              <w:rPr>
                <w:rFonts w:asciiTheme="minorHAnsi" w:hAnsiTheme="minorHAnsi" w:cstheme="minorHAnsi"/>
                <w:sz w:val="20"/>
                <w:szCs w:val="20"/>
              </w:rPr>
              <w:t xml:space="preserve"> the organisation’s standards of conduct and reporting mechanism</w:t>
            </w:r>
            <w:r>
              <w:rPr>
                <w:rFonts w:asciiTheme="minorHAnsi" w:hAnsiTheme="minorHAnsi" w:cstheme="minorHAnsi"/>
                <w:sz w:val="20"/>
                <w:szCs w:val="20"/>
              </w:rPr>
              <w:t>)</w:t>
            </w:r>
            <w:r w:rsidRPr="00580468">
              <w:rPr>
                <w:rFonts w:asciiTheme="minorHAnsi" w:hAnsiTheme="minorHAnsi" w:cstheme="minorHAnsi"/>
                <w:sz w:val="20"/>
                <w:szCs w:val="20"/>
              </w:rPr>
              <w:t>.</w:t>
            </w:r>
          </w:p>
          <w:p w:rsidR="00315ED2" w:rsidRPr="00DC1DF8" w:rsidRDefault="00315ED2" w:rsidP="00E502EA">
            <w:pPr>
              <w:numPr>
                <w:ilvl w:val="0"/>
                <w:numId w:val="9"/>
              </w:numPr>
              <w:rPr>
                <w:rFonts w:asciiTheme="minorHAnsi" w:hAnsiTheme="minorHAnsi" w:cstheme="minorHAnsi"/>
                <w:sz w:val="20"/>
                <w:szCs w:val="20"/>
              </w:rPr>
            </w:pPr>
            <w:r w:rsidRPr="00CA1164">
              <w:rPr>
                <w:rFonts w:asciiTheme="minorHAnsi" w:hAnsiTheme="minorHAnsi" w:cstheme="minorHAnsi"/>
                <w:sz w:val="20"/>
                <w:szCs w:val="20"/>
              </w:rPr>
              <w:t>The HQ has distributed examples of awareness raising tools and materials to be used for beneficiary awareness raising activities.</w:t>
            </w:r>
          </w:p>
        </w:tc>
      </w:tr>
      <w:tr w:rsidR="00315ED2" w:rsidRPr="00DC1DF8" w:rsidTr="00315ED2">
        <w:trPr>
          <w:trHeight w:val="1380"/>
        </w:trPr>
        <w:tc>
          <w:tcPr>
            <w:tcW w:w="416" w:type="dxa"/>
          </w:tcPr>
          <w:p w:rsidR="00315ED2" w:rsidRPr="00DC1DF8" w:rsidRDefault="00315ED2" w:rsidP="008320AD">
            <w:pPr>
              <w:spacing w:after="0" w:line="240" w:lineRule="auto"/>
              <w:ind w:left="180"/>
              <w:jc w:val="center"/>
              <w:rPr>
                <w:rFonts w:asciiTheme="minorHAnsi" w:hAnsiTheme="minorHAnsi" w:cstheme="minorHAnsi"/>
                <w:sz w:val="20"/>
                <w:szCs w:val="20"/>
              </w:rPr>
            </w:pPr>
            <w:r w:rsidRPr="00DC1DF8">
              <w:rPr>
                <w:rFonts w:asciiTheme="minorHAnsi" w:hAnsiTheme="minorHAnsi" w:cstheme="minorHAnsi"/>
                <w:sz w:val="20"/>
                <w:szCs w:val="20"/>
              </w:rPr>
              <w:t>5</w:t>
            </w:r>
          </w:p>
        </w:tc>
        <w:tc>
          <w:tcPr>
            <w:tcW w:w="4500" w:type="dxa"/>
          </w:tcPr>
          <w:p w:rsidR="00315ED2" w:rsidRPr="005E3291" w:rsidRDefault="00315ED2" w:rsidP="00EF5984">
            <w:pPr>
              <w:rPr>
                <w:rFonts w:asciiTheme="minorHAnsi" w:hAnsiTheme="minorHAnsi" w:cstheme="minorHAnsi"/>
                <w:b/>
                <w:sz w:val="24"/>
                <w:szCs w:val="20"/>
              </w:rPr>
            </w:pPr>
            <w:r w:rsidRPr="005E3291">
              <w:rPr>
                <w:rFonts w:asciiTheme="minorHAnsi" w:hAnsiTheme="minorHAnsi" w:cstheme="minorHAnsi"/>
                <w:b/>
                <w:sz w:val="24"/>
                <w:szCs w:val="20"/>
              </w:rPr>
              <w:t>Effective community based complaints mechanisms (CBCM)</w:t>
            </w:r>
            <w:r w:rsidR="005A7614">
              <w:rPr>
                <w:rFonts w:asciiTheme="minorHAnsi" w:hAnsiTheme="minorHAnsi" w:cstheme="minorHAnsi"/>
                <w:b/>
                <w:sz w:val="24"/>
                <w:szCs w:val="20"/>
              </w:rPr>
              <w:t>,</w:t>
            </w:r>
            <w:r w:rsidRPr="005E3291">
              <w:rPr>
                <w:rFonts w:asciiTheme="minorHAnsi" w:hAnsiTheme="minorHAnsi" w:cstheme="minorHAnsi"/>
                <w:b/>
                <w:sz w:val="24"/>
                <w:szCs w:val="20"/>
              </w:rPr>
              <w:t xml:space="preserve"> </w:t>
            </w:r>
            <w:r w:rsidR="005A7614">
              <w:rPr>
                <w:rFonts w:asciiTheme="minorHAnsi" w:hAnsiTheme="minorHAnsi" w:cstheme="minorHAnsi"/>
                <w:b/>
                <w:sz w:val="24"/>
                <w:szCs w:val="20"/>
              </w:rPr>
              <w:t>including victim assistance.</w:t>
            </w:r>
          </w:p>
        </w:tc>
        <w:tc>
          <w:tcPr>
            <w:tcW w:w="7470" w:type="dxa"/>
          </w:tcPr>
          <w:p w:rsidR="00315ED2" w:rsidRPr="00DC1DF8" w:rsidRDefault="00315ED2" w:rsidP="001D653C">
            <w:pPr>
              <w:numPr>
                <w:ilvl w:val="0"/>
                <w:numId w:val="9"/>
              </w:numPr>
              <w:rPr>
                <w:rFonts w:asciiTheme="minorHAnsi" w:hAnsiTheme="minorHAnsi" w:cstheme="minorHAnsi"/>
                <w:sz w:val="20"/>
                <w:szCs w:val="20"/>
              </w:rPr>
            </w:pPr>
            <w:r w:rsidRPr="00DC1DF8">
              <w:rPr>
                <w:rFonts w:asciiTheme="minorHAnsi" w:hAnsiTheme="minorHAnsi" w:cstheme="minorHAnsi"/>
                <w:sz w:val="20"/>
                <w:szCs w:val="20"/>
              </w:rPr>
              <w:t xml:space="preserve">The HQ </w:t>
            </w:r>
            <w:r>
              <w:rPr>
                <w:rFonts w:asciiTheme="minorHAnsi" w:hAnsiTheme="minorHAnsi" w:cstheme="minorHAnsi"/>
                <w:sz w:val="20"/>
                <w:szCs w:val="20"/>
              </w:rPr>
              <w:t>urges its field offices to participate in community based complaint mechanisms that are jointly developed and implemented by the aid community adapted to the specific locations.</w:t>
            </w:r>
          </w:p>
          <w:p w:rsidR="00315ED2" w:rsidRPr="00DC1DF8" w:rsidRDefault="00315ED2" w:rsidP="00E502EA">
            <w:pPr>
              <w:numPr>
                <w:ilvl w:val="0"/>
                <w:numId w:val="9"/>
              </w:numPr>
              <w:rPr>
                <w:rFonts w:asciiTheme="minorHAnsi" w:hAnsiTheme="minorHAnsi" w:cstheme="minorHAnsi"/>
                <w:sz w:val="20"/>
                <w:szCs w:val="20"/>
              </w:rPr>
            </w:pPr>
            <w:r w:rsidRPr="00DC1DF8">
              <w:rPr>
                <w:rFonts w:asciiTheme="minorHAnsi" w:hAnsiTheme="minorHAnsi" w:cstheme="minorHAnsi"/>
                <w:sz w:val="20"/>
                <w:szCs w:val="20"/>
              </w:rPr>
              <w:t xml:space="preserve">There is guidance provided to the field on how to design the CBCM to ensure it is adapted to the cultural context with focus on community participation. </w:t>
            </w:r>
          </w:p>
          <w:p w:rsidR="00315ED2" w:rsidRDefault="00315ED2" w:rsidP="00E502EA">
            <w:pPr>
              <w:numPr>
                <w:ilvl w:val="0"/>
                <w:numId w:val="9"/>
              </w:numPr>
              <w:rPr>
                <w:rFonts w:asciiTheme="minorHAnsi" w:hAnsiTheme="minorHAnsi" w:cstheme="minorHAnsi"/>
                <w:sz w:val="20"/>
                <w:szCs w:val="20"/>
              </w:rPr>
            </w:pPr>
            <w:r w:rsidRPr="00DC1DF8">
              <w:rPr>
                <w:rFonts w:asciiTheme="minorHAnsi" w:hAnsiTheme="minorHAnsi" w:cstheme="minorHAnsi"/>
                <w:sz w:val="20"/>
                <w:szCs w:val="20"/>
              </w:rPr>
              <w:t xml:space="preserve">There is a mechanism for monitoring and review of the complaint mechanism. </w:t>
            </w:r>
          </w:p>
          <w:p w:rsidR="005A7614" w:rsidRPr="00DC1DF8" w:rsidRDefault="005A7614" w:rsidP="00E502EA">
            <w:pPr>
              <w:numPr>
                <w:ilvl w:val="0"/>
                <w:numId w:val="9"/>
              </w:numPr>
              <w:rPr>
                <w:rFonts w:asciiTheme="minorHAnsi" w:hAnsiTheme="minorHAnsi" w:cstheme="minorHAnsi"/>
                <w:sz w:val="20"/>
                <w:szCs w:val="20"/>
              </w:rPr>
            </w:pPr>
            <w:r>
              <w:rPr>
                <w:rFonts w:asciiTheme="minorHAnsi" w:hAnsiTheme="minorHAnsi" w:cstheme="minorHAnsi"/>
                <w:sz w:val="20"/>
                <w:szCs w:val="20"/>
              </w:rPr>
              <w:t xml:space="preserve">The organisation has written guidance on the provision of victim assistance. </w:t>
            </w:r>
          </w:p>
        </w:tc>
      </w:tr>
      <w:tr w:rsidR="00315ED2" w:rsidRPr="00DC1DF8" w:rsidTr="00315ED2">
        <w:trPr>
          <w:trHeight w:val="1907"/>
        </w:trPr>
        <w:tc>
          <w:tcPr>
            <w:tcW w:w="416" w:type="dxa"/>
          </w:tcPr>
          <w:p w:rsidR="00315ED2" w:rsidRPr="00DC1DF8" w:rsidRDefault="00315ED2" w:rsidP="00CA3E2F">
            <w:pPr>
              <w:spacing w:after="0" w:line="240" w:lineRule="auto"/>
              <w:ind w:left="180"/>
              <w:jc w:val="center"/>
              <w:rPr>
                <w:rFonts w:asciiTheme="minorHAnsi" w:hAnsiTheme="minorHAnsi" w:cstheme="minorHAnsi"/>
                <w:sz w:val="20"/>
                <w:szCs w:val="20"/>
              </w:rPr>
            </w:pPr>
            <w:r w:rsidRPr="00DC1DF8">
              <w:rPr>
                <w:rFonts w:asciiTheme="minorHAnsi" w:hAnsiTheme="minorHAnsi" w:cstheme="minorHAnsi"/>
                <w:sz w:val="20"/>
                <w:szCs w:val="20"/>
              </w:rPr>
              <w:t>6</w:t>
            </w:r>
          </w:p>
        </w:tc>
        <w:tc>
          <w:tcPr>
            <w:tcW w:w="4500" w:type="dxa"/>
            <w:tcBorders>
              <w:bottom w:val="single" w:sz="4" w:space="0" w:color="auto"/>
            </w:tcBorders>
          </w:tcPr>
          <w:p w:rsidR="00315ED2" w:rsidRPr="005E3291" w:rsidRDefault="00315ED2" w:rsidP="00CA3E2F">
            <w:pPr>
              <w:rPr>
                <w:rFonts w:asciiTheme="minorHAnsi" w:hAnsiTheme="minorHAnsi" w:cstheme="minorHAnsi"/>
                <w:b/>
                <w:sz w:val="24"/>
                <w:szCs w:val="20"/>
              </w:rPr>
            </w:pPr>
            <w:r w:rsidRPr="005E3291">
              <w:rPr>
                <w:rFonts w:asciiTheme="minorHAnsi" w:hAnsiTheme="minorHAnsi" w:cstheme="minorHAnsi"/>
                <w:b/>
                <w:sz w:val="24"/>
                <w:szCs w:val="20"/>
              </w:rPr>
              <w:t>Effective recruitment and performance management</w:t>
            </w:r>
          </w:p>
          <w:p w:rsidR="00315ED2" w:rsidRPr="005E3291" w:rsidRDefault="00315ED2" w:rsidP="00CA3E2F">
            <w:pPr>
              <w:rPr>
                <w:rFonts w:asciiTheme="minorHAnsi" w:hAnsiTheme="minorHAnsi" w:cstheme="minorHAnsi"/>
                <w:b/>
                <w:sz w:val="24"/>
                <w:szCs w:val="20"/>
              </w:rPr>
            </w:pPr>
          </w:p>
          <w:p w:rsidR="00315ED2" w:rsidRPr="005E3291" w:rsidRDefault="00315ED2" w:rsidP="00CA3E2F">
            <w:pPr>
              <w:rPr>
                <w:rFonts w:asciiTheme="minorHAnsi" w:hAnsiTheme="minorHAnsi" w:cstheme="minorHAnsi"/>
                <w:b/>
                <w:sz w:val="24"/>
                <w:szCs w:val="20"/>
              </w:rPr>
            </w:pPr>
          </w:p>
          <w:p w:rsidR="00315ED2" w:rsidRPr="005E3291" w:rsidRDefault="00315ED2" w:rsidP="00CA3E2F">
            <w:pPr>
              <w:rPr>
                <w:rFonts w:asciiTheme="minorHAnsi" w:hAnsiTheme="minorHAnsi" w:cstheme="minorHAnsi"/>
                <w:b/>
                <w:sz w:val="24"/>
                <w:szCs w:val="20"/>
              </w:rPr>
            </w:pPr>
          </w:p>
          <w:p w:rsidR="00315ED2" w:rsidRPr="005E3291" w:rsidRDefault="00315ED2" w:rsidP="00CA3E2F">
            <w:pPr>
              <w:rPr>
                <w:rFonts w:asciiTheme="minorHAnsi" w:hAnsiTheme="minorHAnsi" w:cstheme="minorHAnsi"/>
                <w:b/>
                <w:sz w:val="24"/>
                <w:szCs w:val="20"/>
              </w:rPr>
            </w:pPr>
          </w:p>
          <w:p w:rsidR="00315ED2" w:rsidRPr="005E3291" w:rsidRDefault="00315ED2" w:rsidP="00CA3E2F">
            <w:pPr>
              <w:rPr>
                <w:rFonts w:asciiTheme="minorHAnsi" w:hAnsiTheme="minorHAnsi" w:cstheme="minorHAnsi"/>
                <w:b/>
                <w:sz w:val="24"/>
                <w:szCs w:val="20"/>
              </w:rPr>
            </w:pPr>
          </w:p>
        </w:tc>
        <w:tc>
          <w:tcPr>
            <w:tcW w:w="7470" w:type="dxa"/>
            <w:tcBorders>
              <w:bottom w:val="single" w:sz="4" w:space="0" w:color="auto"/>
            </w:tcBorders>
          </w:tcPr>
          <w:p w:rsidR="00315ED2" w:rsidRPr="00DC1DF8" w:rsidRDefault="00315ED2" w:rsidP="00B831B2">
            <w:pPr>
              <w:numPr>
                <w:ilvl w:val="0"/>
                <w:numId w:val="9"/>
              </w:numPr>
              <w:rPr>
                <w:rFonts w:asciiTheme="minorHAnsi" w:hAnsiTheme="minorHAnsi" w:cstheme="minorHAnsi"/>
                <w:sz w:val="20"/>
                <w:szCs w:val="20"/>
              </w:rPr>
            </w:pPr>
            <w:r>
              <w:rPr>
                <w:rFonts w:asciiTheme="minorHAnsi" w:hAnsiTheme="minorHAnsi" w:cstheme="minorHAnsi"/>
                <w:sz w:val="20"/>
                <w:szCs w:val="20"/>
              </w:rPr>
              <w:t>The organisation makes sure that all candidates are required to sign the code of conduct before being offered a contract</w:t>
            </w:r>
            <w:r w:rsidRPr="00DC1DF8">
              <w:rPr>
                <w:rFonts w:asciiTheme="minorHAnsi" w:hAnsiTheme="minorHAnsi" w:cstheme="minorHAnsi"/>
                <w:sz w:val="20"/>
                <w:szCs w:val="20"/>
              </w:rPr>
              <w:t>.</w:t>
            </w:r>
          </w:p>
          <w:p w:rsidR="00315ED2" w:rsidRDefault="00315ED2" w:rsidP="00B831B2">
            <w:pPr>
              <w:numPr>
                <w:ilvl w:val="0"/>
                <w:numId w:val="9"/>
              </w:numPr>
              <w:rPr>
                <w:rFonts w:asciiTheme="minorHAnsi" w:hAnsiTheme="minorHAnsi" w:cstheme="minorHAnsi"/>
                <w:sz w:val="20"/>
                <w:szCs w:val="20"/>
              </w:rPr>
            </w:pPr>
            <w:r>
              <w:rPr>
                <w:rFonts w:asciiTheme="minorHAnsi" w:hAnsiTheme="minorHAnsi" w:cstheme="minorHAnsi"/>
                <w:sz w:val="20"/>
                <w:szCs w:val="20"/>
              </w:rPr>
              <w:t>Each organisation commits to improving its system of reference checking and vetting for former misconduct.</w:t>
            </w:r>
          </w:p>
          <w:p w:rsidR="00315ED2" w:rsidRDefault="00315ED2" w:rsidP="00B831B2">
            <w:pPr>
              <w:numPr>
                <w:ilvl w:val="0"/>
                <w:numId w:val="9"/>
              </w:numPr>
              <w:rPr>
                <w:rFonts w:asciiTheme="minorHAnsi" w:hAnsiTheme="minorHAnsi" w:cstheme="minorHAnsi"/>
                <w:sz w:val="20"/>
                <w:szCs w:val="20"/>
              </w:rPr>
            </w:pPr>
            <w:r w:rsidRPr="00CA1164">
              <w:rPr>
                <w:rFonts w:asciiTheme="minorHAnsi" w:hAnsiTheme="minorHAnsi" w:cstheme="minorHAnsi"/>
                <w:sz w:val="20"/>
                <w:szCs w:val="20"/>
              </w:rPr>
              <w:t>Supervision and performance appraisals include adherence to participation in Code of Conduct trainings (or similar)</w:t>
            </w:r>
            <w:r>
              <w:rPr>
                <w:rFonts w:asciiTheme="minorHAnsi" w:hAnsiTheme="minorHAnsi" w:cstheme="minorHAnsi"/>
                <w:sz w:val="20"/>
                <w:szCs w:val="20"/>
              </w:rPr>
              <w:t xml:space="preserve"> that includes </w:t>
            </w:r>
            <w:r w:rsidRPr="00CA1164">
              <w:rPr>
                <w:rFonts w:asciiTheme="minorHAnsi" w:hAnsiTheme="minorHAnsi" w:cstheme="minorHAnsi"/>
                <w:sz w:val="20"/>
                <w:szCs w:val="20"/>
              </w:rPr>
              <w:t xml:space="preserve">PSEA. </w:t>
            </w:r>
          </w:p>
          <w:p w:rsidR="00315ED2" w:rsidRPr="00510179" w:rsidRDefault="00315ED2" w:rsidP="006D7196">
            <w:pPr>
              <w:numPr>
                <w:ilvl w:val="0"/>
                <w:numId w:val="9"/>
              </w:numPr>
              <w:rPr>
                <w:rFonts w:asciiTheme="minorHAnsi" w:hAnsiTheme="minorHAnsi" w:cstheme="minorHAnsi"/>
                <w:sz w:val="20"/>
                <w:szCs w:val="20"/>
              </w:rPr>
            </w:pPr>
            <w:r w:rsidRPr="00510179">
              <w:rPr>
                <w:rFonts w:asciiTheme="minorHAnsi" w:hAnsiTheme="minorHAnsi" w:cstheme="minorHAnsi"/>
                <w:sz w:val="20"/>
                <w:szCs w:val="20"/>
              </w:rPr>
              <w:t xml:space="preserve">Performance appraisals for Senior Management include the adherence to create and maintain an environment which prevents sexual exploitation and abuse and promotes the implementation of the ST/SGB/2003/13 or code of conduct. </w:t>
            </w:r>
          </w:p>
        </w:tc>
      </w:tr>
      <w:tr w:rsidR="00315ED2" w:rsidRPr="00DC1DF8" w:rsidTr="00315ED2">
        <w:trPr>
          <w:trHeight w:val="2420"/>
        </w:trPr>
        <w:tc>
          <w:tcPr>
            <w:tcW w:w="416" w:type="dxa"/>
            <w:tcBorders>
              <w:bottom w:val="single" w:sz="4" w:space="0" w:color="auto"/>
            </w:tcBorders>
          </w:tcPr>
          <w:p w:rsidR="00315ED2" w:rsidRPr="00DC1DF8" w:rsidRDefault="00315ED2" w:rsidP="00CA3E2F">
            <w:pPr>
              <w:spacing w:after="0" w:line="240" w:lineRule="auto"/>
              <w:ind w:left="180"/>
              <w:jc w:val="center"/>
              <w:rPr>
                <w:rFonts w:asciiTheme="minorHAnsi" w:hAnsiTheme="minorHAnsi" w:cstheme="minorHAnsi"/>
                <w:sz w:val="20"/>
                <w:szCs w:val="20"/>
              </w:rPr>
            </w:pPr>
            <w:r w:rsidRPr="00DC1DF8">
              <w:rPr>
                <w:rFonts w:asciiTheme="minorHAnsi" w:hAnsiTheme="minorHAnsi" w:cstheme="minorHAnsi"/>
                <w:sz w:val="20"/>
                <w:szCs w:val="20"/>
              </w:rPr>
              <w:lastRenderedPageBreak/>
              <w:t>7</w:t>
            </w:r>
          </w:p>
        </w:tc>
        <w:tc>
          <w:tcPr>
            <w:tcW w:w="4500" w:type="dxa"/>
            <w:tcBorders>
              <w:bottom w:val="single" w:sz="4" w:space="0" w:color="auto"/>
            </w:tcBorders>
          </w:tcPr>
          <w:p w:rsidR="00315ED2" w:rsidRPr="005E3291" w:rsidRDefault="00315ED2" w:rsidP="003F267A">
            <w:pPr>
              <w:rPr>
                <w:rFonts w:asciiTheme="minorHAnsi" w:hAnsiTheme="minorHAnsi" w:cstheme="minorHAnsi"/>
                <w:b/>
                <w:sz w:val="24"/>
                <w:szCs w:val="20"/>
              </w:rPr>
            </w:pPr>
            <w:r w:rsidRPr="005E3291">
              <w:rPr>
                <w:rFonts w:asciiTheme="minorHAnsi" w:hAnsiTheme="minorHAnsi" w:cstheme="minorHAnsi"/>
                <w:b/>
                <w:sz w:val="24"/>
                <w:szCs w:val="20"/>
              </w:rPr>
              <w:t>Effective and comprehensive mechanisms are established to ensure awareness-raising on SEA amongst personnel</w:t>
            </w:r>
          </w:p>
        </w:tc>
        <w:tc>
          <w:tcPr>
            <w:tcW w:w="7470" w:type="dxa"/>
            <w:tcBorders>
              <w:bottom w:val="single" w:sz="4" w:space="0" w:color="auto"/>
            </w:tcBorders>
          </w:tcPr>
          <w:p w:rsidR="00315ED2" w:rsidRPr="00DC1DF8" w:rsidRDefault="00315ED2" w:rsidP="00410D44">
            <w:pPr>
              <w:numPr>
                <w:ilvl w:val="0"/>
                <w:numId w:val="9"/>
              </w:numPr>
              <w:rPr>
                <w:rFonts w:asciiTheme="minorHAnsi" w:hAnsiTheme="minorHAnsi" w:cstheme="minorHAnsi"/>
                <w:sz w:val="20"/>
                <w:szCs w:val="20"/>
              </w:rPr>
            </w:pPr>
            <w:proofErr w:type="gramStart"/>
            <w:r w:rsidRPr="00DC1DF8">
              <w:rPr>
                <w:rFonts w:asciiTheme="minorHAnsi" w:hAnsiTheme="minorHAnsi" w:cstheme="minorHAnsi"/>
                <w:sz w:val="20"/>
                <w:szCs w:val="20"/>
              </w:rPr>
              <w:t>Staff</w:t>
            </w:r>
            <w:proofErr w:type="gramEnd"/>
            <w:r w:rsidRPr="00DC1DF8">
              <w:rPr>
                <w:rFonts w:asciiTheme="minorHAnsi" w:hAnsiTheme="minorHAnsi" w:cstheme="minorHAnsi"/>
                <w:sz w:val="20"/>
                <w:szCs w:val="20"/>
              </w:rPr>
              <w:t xml:space="preserve"> receives annual refresher training on the </w:t>
            </w:r>
            <w:r>
              <w:rPr>
                <w:rFonts w:asciiTheme="minorHAnsi" w:hAnsiTheme="minorHAnsi" w:cstheme="minorHAnsi"/>
                <w:sz w:val="20"/>
                <w:szCs w:val="20"/>
              </w:rPr>
              <w:t>standards</w:t>
            </w:r>
            <w:r w:rsidRPr="00DC1DF8">
              <w:rPr>
                <w:rFonts w:asciiTheme="minorHAnsi" w:hAnsiTheme="minorHAnsi" w:cstheme="minorHAnsi"/>
                <w:sz w:val="20"/>
                <w:szCs w:val="20"/>
              </w:rPr>
              <w:t xml:space="preserve"> of conduct, </w:t>
            </w:r>
            <w:r>
              <w:rPr>
                <w:rFonts w:asciiTheme="minorHAnsi" w:hAnsiTheme="minorHAnsi" w:cstheme="minorHAnsi"/>
                <w:sz w:val="20"/>
                <w:szCs w:val="20"/>
              </w:rPr>
              <w:t xml:space="preserve">learn about the </w:t>
            </w:r>
            <w:r w:rsidRPr="00DC1DF8">
              <w:rPr>
                <w:rFonts w:asciiTheme="minorHAnsi" w:hAnsiTheme="minorHAnsi" w:cstheme="minorHAnsi"/>
                <w:sz w:val="20"/>
                <w:szCs w:val="20"/>
              </w:rPr>
              <w:t>mechanism</w:t>
            </w:r>
            <w:r>
              <w:rPr>
                <w:rFonts w:asciiTheme="minorHAnsi" w:hAnsiTheme="minorHAnsi" w:cstheme="minorHAnsi"/>
                <w:sz w:val="20"/>
                <w:szCs w:val="20"/>
              </w:rPr>
              <w:t xml:space="preserve"> to file complaints and reports of misconduct</w:t>
            </w:r>
            <w:r w:rsidRPr="00DC1DF8">
              <w:rPr>
                <w:rFonts w:asciiTheme="minorHAnsi" w:hAnsiTheme="minorHAnsi" w:cstheme="minorHAnsi"/>
                <w:sz w:val="20"/>
                <w:szCs w:val="20"/>
              </w:rPr>
              <w:t xml:space="preserve"> and the implications of breaching </w:t>
            </w:r>
            <w:r>
              <w:rPr>
                <w:rFonts w:asciiTheme="minorHAnsi" w:hAnsiTheme="minorHAnsi" w:cstheme="minorHAnsi"/>
                <w:sz w:val="20"/>
                <w:szCs w:val="20"/>
              </w:rPr>
              <w:t>these standards.</w:t>
            </w:r>
          </w:p>
          <w:p w:rsidR="00315ED2" w:rsidRPr="00DC1DF8" w:rsidRDefault="00315ED2" w:rsidP="00410D44">
            <w:pPr>
              <w:numPr>
                <w:ilvl w:val="0"/>
                <w:numId w:val="9"/>
              </w:numPr>
              <w:rPr>
                <w:rFonts w:asciiTheme="minorHAnsi" w:hAnsiTheme="minorHAnsi" w:cstheme="minorHAnsi"/>
                <w:sz w:val="20"/>
                <w:szCs w:val="20"/>
              </w:rPr>
            </w:pPr>
            <w:r w:rsidRPr="00DC1DF8">
              <w:rPr>
                <w:rFonts w:asciiTheme="minorHAnsi" w:hAnsiTheme="minorHAnsi" w:cstheme="minorHAnsi"/>
                <w:sz w:val="20"/>
                <w:szCs w:val="20"/>
              </w:rPr>
              <w:t xml:space="preserve">Training on </w:t>
            </w:r>
            <w:r>
              <w:rPr>
                <w:rFonts w:asciiTheme="minorHAnsi" w:hAnsiTheme="minorHAnsi" w:cstheme="minorHAnsi"/>
                <w:sz w:val="20"/>
                <w:szCs w:val="20"/>
              </w:rPr>
              <w:t xml:space="preserve">misconduct (specifically mentioning </w:t>
            </w:r>
            <w:r w:rsidRPr="00DC1DF8">
              <w:rPr>
                <w:rFonts w:asciiTheme="minorHAnsi" w:hAnsiTheme="minorHAnsi" w:cstheme="minorHAnsi"/>
                <w:sz w:val="20"/>
                <w:szCs w:val="20"/>
              </w:rPr>
              <w:t>SEA</w:t>
            </w:r>
            <w:r>
              <w:rPr>
                <w:rFonts w:asciiTheme="minorHAnsi" w:hAnsiTheme="minorHAnsi" w:cstheme="minorHAnsi"/>
                <w:sz w:val="20"/>
                <w:szCs w:val="20"/>
              </w:rPr>
              <w:t>)</w:t>
            </w:r>
            <w:r w:rsidRPr="00DC1DF8">
              <w:rPr>
                <w:rFonts w:asciiTheme="minorHAnsi" w:hAnsiTheme="minorHAnsi" w:cstheme="minorHAnsi"/>
                <w:sz w:val="20"/>
                <w:szCs w:val="20"/>
              </w:rPr>
              <w:t xml:space="preserve"> forms part of the induction process.</w:t>
            </w:r>
          </w:p>
          <w:p w:rsidR="00315ED2" w:rsidRPr="00DC1DF8" w:rsidRDefault="00315ED2" w:rsidP="00410D44">
            <w:pPr>
              <w:numPr>
                <w:ilvl w:val="0"/>
                <w:numId w:val="9"/>
              </w:numPr>
              <w:rPr>
                <w:rFonts w:asciiTheme="minorHAnsi" w:hAnsiTheme="minorHAnsi" w:cstheme="minorHAnsi"/>
                <w:sz w:val="20"/>
                <w:szCs w:val="20"/>
              </w:rPr>
            </w:pPr>
            <w:r>
              <w:rPr>
                <w:rFonts w:asciiTheme="minorHAnsi" w:hAnsiTheme="minorHAnsi" w:cstheme="minorHAnsi"/>
                <w:sz w:val="20"/>
                <w:szCs w:val="20"/>
              </w:rPr>
              <w:t xml:space="preserve"> S</w:t>
            </w:r>
            <w:r w:rsidRPr="00DC1DF8">
              <w:rPr>
                <w:rFonts w:asciiTheme="minorHAnsi" w:hAnsiTheme="minorHAnsi" w:cstheme="minorHAnsi"/>
                <w:sz w:val="20"/>
                <w:szCs w:val="20"/>
              </w:rPr>
              <w:t xml:space="preserve">taff </w:t>
            </w:r>
            <w:r>
              <w:rPr>
                <w:rFonts w:asciiTheme="minorHAnsi" w:hAnsiTheme="minorHAnsi" w:cstheme="minorHAnsi"/>
                <w:sz w:val="20"/>
                <w:szCs w:val="20"/>
              </w:rPr>
              <w:t xml:space="preserve">members </w:t>
            </w:r>
            <w:r w:rsidRPr="00DC1DF8">
              <w:rPr>
                <w:rFonts w:asciiTheme="minorHAnsi" w:hAnsiTheme="minorHAnsi" w:cstheme="minorHAnsi"/>
                <w:sz w:val="20"/>
                <w:szCs w:val="20"/>
              </w:rPr>
              <w:t>are aware of the</w:t>
            </w:r>
            <w:r>
              <w:rPr>
                <w:rFonts w:asciiTheme="minorHAnsi" w:hAnsiTheme="minorHAnsi" w:cstheme="minorHAnsi"/>
                <w:sz w:val="20"/>
                <w:szCs w:val="20"/>
              </w:rPr>
              <w:t xml:space="preserve">ir obligation to </w:t>
            </w:r>
            <w:r w:rsidRPr="00DC1DF8">
              <w:rPr>
                <w:rFonts w:asciiTheme="minorHAnsi" w:hAnsiTheme="minorHAnsi" w:cstheme="minorHAnsi"/>
                <w:sz w:val="20"/>
                <w:szCs w:val="20"/>
              </w:rPr>
              <w:t>report</w:t>
            </w:r>
            <w:r>
              <w:rPr>
                <w:rFonts w:asciiTheme="minorHAnsi" w:hAnsiTheme="minorHAnsi" w:cstheme="minorHAnsi"/>
                <w:sz w:val="20"/>
                <w:szCs w:val="20"/>
              </w:rPr>
              <w:t xml:space="preserve"> SEA/misconduct and are aware that there is a policy for P</w:t>
            </w:r>
            <w:r w:rsidRPr="00DC1DF8">
              <w:rPr>
                <w:rFonts w:asciiTheme="minorHAnsi" w:hAnsiTheme="minorHAnsi" w:cstheme="minorHAnsi"/>
                <w:sz w:val="20"/>
                <w:szCs w:val="20"/>
              </w:rPr>
              <w:t>rotection</w:t>
            </w:r>
            <w:r>
              <w:rPr>
                <w:rFonts w:asciiTheme="minorHAnsi" w:hAnsiTheme="minorHAnsi" w:cstheme="minorHAnsi"/>
                <w:sz w:val="20"/>
                <w:szCs w:val="20"/>
              </w:rPr>
              <w:t xml:space="preserve"> from retaliation</w:t>
            </w:r>
            <w:r w:rsidRPr="00DC1DF8">
              <w:rPr>
                <w:rFonts w:asciiTheme="minorHAnsi" w:hAnsiTheme="minorHAnsi" w:cstheme="minorHAnsi"/>
                <w:sz w:val="20"/>
                <w:szCs w:val="20"/>
              </w:rPr>
              <w:t xml:space="preserve"> in place</w:t>
            </w:r>
            <w:r>
              <w:rPr>
                <w:rFonts w:asciiTheme="minorHAnsi" w:hAnsiTheme="minorHAnsi" w:cstheme="minorHAnsi"/>
                <w:sz w:val="20"/>
                <w:szCs w:val="20"/>
              </w:rPr>
              <w:t>.</w:t>
            </w:r>
          </w:p>
        </w:tc>
      </w:tr>
      <w:tr w:rsidR="00BF1E92" w:rsidRPr="00DC1DF8" w:rsidTr="00BF1E92">
        <w:trPr>
          <w:trHeight w:val="4643"/>
        </w:trPr>
        <w:tc>
          <w:tcPr>
            <w:tcW w:w="416" w:type="dxa"/>
          </w:tcPr>
          <w:p w:rsidR="00BF1E92" w:rsidRPr="00DC1DF8" w:rsidRDefault="00BF1E92" w:rsidP="002B656F">
            <w:pPr>
              <w:spacing w:after="0" w:line="240" w:lineRule="auto"/>
              <w:ind w:left="180"/>
              <w:jc w:val="center"/>
              <w:rPr>
                <w:rFonts w:asciiTheme="minorHAnsi" w:hAnsiTheme="minorHAnsi" w:cstheme="minorHAnsi"/>
                <w:sz w:val="20"/>
                <w:szCs w:val="20"/>
              </w:rPr>
            </w:pPr>
            <w:r w:rsidRPr="00DC1DF8">
              <w:rPr>
                <w:rFonts w:asciiTheme="minorHAnsi" w:hAnsiTheme="minorHAnsi" w:cstheme="minorHAnsi"/>
                <w:sz w:val="20"/>
                <w:szCs w:val="20"/>
              </w:rPr>
              <w:t>8</w:t>
            </w:r>
          </w:p>
        </w:tc>
        <w:tc>
          <w:tcPr>
            <w:tcW w:w="4500" w:type="dxa"/>
          </w:tcPr>
          <w:p w:rsidR="00BF1E92" w:rsidRPr="00D002F7" w:rsidRDefault="00BF1E92" w:rsidP="003455FC">
            <w:pPr>
              <w:rPr>
                <w:rFonts w:asciiTheme="minorHAnsi" w:hAnsiTheme="minorHAnsi" w:cstheme="minorHAnsi"/>
                <w:b/>
                <w:sz w:val="24"/>
                <w:szCs w:val="20"/>
              </w:rPr>
            </w:pPr>
            <w:r w:rsidRPr="00D002F7">
              <w:rPr>
                <w:rFonts w:asciiTheme="minorHAnsi" w:hAnsiTheme="minorHAnsi" w:cstheme="minorHAnsi"/>
                <w:b/>
                <w:sz w:val="24"/>
                <w:szCs w:val="20"/>
              </w:rPr>
              <w:t xml:space="preserve">Internal complaints and investigation procedures in place </w:t>
            </w:r>
          </w:p>
          <w:p w:rsidR="00BF1E92" w:rsidRPr="005E3291" w:rsidRDefault="00BF1E92" w:rsidP="00C24DC0">
            <w:pPr>
              <w:rPr>
                <w:rFonts w:asciiTheme="minorHAnsi" w:hAnsiTheme="minorHAnsi" w:cstheme="minorHAnsi"/>
                <w:b/>
                <w:sz w:val="24"/>
                <w:szCs w:val="20"/>
              </w:rPr>
            </w:pPr>
          </w:p>
        </w:tc>
        <w:tc>
          <w:tcPr>
            <w:tcW w:w="7470" w:type="dxa"/>
          </w:tcPr>
          <w:p w:rsidR="00BF1E92" w:rsidRDefault="00BF1E92" w:rsidP="00367E33">
            <w:pPr>
              <w:numPr>
                <w:ilvl w:val="0"/>
                <w:numId w:val="13"/>
              </w:numPr>
              <w:rPr>
                <w:rFonts w:asciiTheme="minorHAnsi" w:hAnsiTheme="minorHAnsi" w:cstheme="minorHAnsi"/>
                <w:sz w:val="20"/>
                <w:szCs w:val="20"/>
              </w:rPr>
            </w:pPr>
            <w:r w:rsidRPr="00DC1DF8">
              <w:rPr>
                <w:rFonts w:asciiTheme="minorHAnsi" w:hAnsiTheme="minorHAnsi" w:cstheme="minorHAnsi"/>
                <w:sz w:val="20"/>
                <w:szCs w:val="20"/>
              </w:rPr>
              <w:t xml:space="preserve">Written procedures on </w:t>
            </w:r>
            <w:r>
              <w:rPr>
                <w:rFonts w:asciiTheme="minorHAnsi" w:hAnsiTheme="minorHAnsi" w:cstheme="minorHAnsi"/>
                <w:sz w:val="20"/>
                <w:szCs w:val="20"/>
              </w:rPr>
              <w:t>complaints/reports handling from staff members or beneficiaries are in place.</w:t>
            </w:r>
          </w:p>
          <w:p w:rsidR="00BF1E92" w:rsidRPr="003962C7" w:rsidRDefault="00BF1E92" w:rsidP="00580468">
            <w:pPr>
              <w:numPr>
                <w:ilvl w:val="0"/>
                <w:numId w:val="13"/>
              </w:numPr>
              <w:rPr>
                <w:rFonts w:asciiTheme="minorHAnsi" w:hAnsiTheme="minorHAnsi" w:cstheme="minorHAnsi"/>
                <w:sz w:val="20"/>
                <w:szCs w:val="20"/>
              </w:rPr>
            </w:pPr>
            <w:r>
              <w:rPr>
                <w:rFonts w:asciiTheme="minorHAnsi" w:hAnsiTheme="minorHAnsi" w:cstheme="minorHAnsi"/>
                <w:sz w:val="20"/>
                <w:szCs w:val="20"/>
              </w:rPr>
              <w:t xml:space="preserve">Staff members are informed on a regular basis of how to file a complaint/report and the procedures for handling these. </w:t>
            </w:r>
          </w:p>
          <w:p w:rsidR="00BF1E92" w:rsidRPr="00DC1DF8" w:rsidRDefault="00BF1E92" w:rsidP="00665390">
            <w:pPr>
              <w:numPr>
                <w:ilvl w:val="0"/>
                <w:numId w:val="13"/>
              </w:numPr>
              <w:rPr>
                <w:rFonts w:asciiTheme="minorHAnsi" w:hAnsiTheme="minorHAnsi" w:cstheme="minorHAnsi"/>
                <w:sz w:val="20"/>
                <w:szCs w:val="20"/>
              </w:rPr>
            </w:pPr>
            <w:r w:rsidRPr="00DC1DF8">
              <w:rPr>
                <w:rFonts w:asciiTheme="minorHAnsi" w:hAnsiTheme="minorHAnsi" w:cstheme="minorHAnsi"/>
                <w:sz w:val="20"/>
                <w:szCs w:val="20"/>
              </w:rPr>
              <w:t xml:space="preserve">Standard </w:t>
            </w:r>
            <w:r>
              <w:rPr>
                <w:rFonts w:asciiTheme="minorHAnsi" w:hAnsiTheme="minorHAnsi" w:cstheme="minorHAnsi"/>
                <w:sz w:val="20"/>
                <w:szCs w:val="20"/>
              </w:rPr>
              <w:t xml:space="preserve">investigation </w:t>
            </w:r>
            <w:r w:rsidRPr="00DC1DF8">
              <w:rPr>
                <w:rFonts w:asciiTheme="minorHAnsi" w:hAnsiTheme="minorHAnsi" w:cstheme="minorHAnsi"/>
                <w:sz w:val="20"/>
                <w:szCs w:val="20"/>
              </w:rPr>
              <w:t>operating procedures or equivalent issued and used to guide investigation practice.</w:t>
            </w:r>
          </w:p>
          <w:p w:rsidR="00BF1E92" w:rsidRPr="00DC1DF8" w:rsidRDefault="00BF1E92" w:rsidP="00665390">
            <w:pPr>
              <w:numPr>
                <w:ilvl w:val="0"/>
                <w:numId w:val="13"/>
              </w:numPr>
              <w:rPr>
                <w:rFonts w:asciiTheme="minorHAnsi" w:hAnsiTheme="minorHAnsi" w:cstheme="minorHAnsi"/>
                <w:sz w:val="20"/>
                <w:szCs w:val="20"/>
              </w:rPr>
            </w:pPr>
            <w:r w:rsidRPr="00DC1DF8">
              <w:rPr>
                <w:rFonts w:asciiTheme="minorHAnsi" w:hAnsiTheme="minorHAnsi" w:cstheme="minorHAnsi"/>
                <w:sz w:val="20"/>
                <w:szCs w:val="20"/>
              </w:rPr>
              <w:t xml:space="preserve">Investigations </w:t>
            </w:r>
            <w:r>
              <w:rPr>
                <w:rFonts w:asciiTheme="minorHAnsi" w:hAnsiTheme="minorHAnsi" w:cstheme="minorHAnsi"/>
                <w:sz w:val="20"/>
                <w:szCs w:val="20"/>
              </w:rPr>
              <w:t xml:space="preserve">are </w:t>
            </w:r>
            <w:r w:rsidRPr="00DC1DF8">
              <w:rPr>
                <w:rFonts w:asciiTheme="minorHAnsi" w:hAnsiTheme="minorHAnsi" w:cstheme="minorHAnsi"/>
                <w:sz w:val="20"/>
                <w:szCs w:val="20"/>
              </w:rPr>
              <w:t xml:space="preserve">undertaken by experienced and qualified professionals </w:t>
            </w:r>
            <w:r>
              <w:rPr>
                <w:rFonts w:asciiTheme="minorHAnsi" w:hAnsiTheme="minorHAnsi" w:cstheme="minorHAnsi"/>
                <w:sz w:val="20"/>
                <w:szCs w:val="20"/>
              </w:rPr>
              <w:t>who are also trained on sensitive investigations such as allegations of SEA.</w:t>
            </w:r>
          </w:p>
          <w:p w:rsidR="00BF1E92" w:rsidRPr="00CA1164" w:rsidRDefault="00BF1E92" w:rsidP="00665390">
            <w:pPr>
              <w:numPr>
                <w:ilvl w:val="0"/>
                <w:numId w:val="13"/>
              </w:numPr>
              <w:rPr>
                <w:rFonts w:asciiTheme="minorHAnsi" w:hAnsiTheme="minorHAnsi" w:cstheme="minorHAnsi"/>
                <w:sz w:val="20"/>
                <w:szCs w:val="20"/>
              </w:rPr>
            </w:pPr>
            <w:r w:rsidRPr="00CA1164">
              <w:rPr>
                <w:rFonts w:asciiTheme="minorHAnsi" w:hAnsiTheme="minorHAnsi" w:cstheme="minorHAnsi"/>
                <w:sz w:val="20"/>
                <w:szCs w:val="20"/>
              </w:rPr>
              <w:t xml:space="preserve">Investigations are </w:t>
            </w:r>
            <w:r>
              <w:rPr>
                <w:rFonts w:asciiTheme="minorHAnsi" w:hAnsiTheme="minorHAnsi" w:cstheme="minorHAnsi"/>
                <w:sz w:val="20"/>
                <w:szCs w:val="20"/>
              </w:rPr>
              <w:t>commenced within 3 months</w:t>
            </w:r>
            <w:r w:rsidRPr="00CA1164">
              <w:rPr>
                <w:rFonts w:asciiTheme="minorHAnsi" w:hAnsiTheme="minorHAnsi" w:cstheme="minorHAnsi"/>
                <w:sz w:val="20"/>
                <w:szCs w:val="20"/>
              </w:rPr>
              <w:t xml:space="preserve"> and information about out-come is shared with the complainant.</w:t>
            </w:r>
          </w:p>
          <w:p w:rsidR="00BF1E92" w:rsidRPr="003962C7" w:rsidRDefault="00BF1E92" w:rsidP="00665390">
            <w:pPr>
              <w:numPr>
                <w:ilvl w:val="0"/>
                <w:numId w:val="13"/>
              </w:numPr>
              <w:rPr>
                <w:rFonts w:asciiTheme="minorHAnsi" w:hAnsiTheme="minorHAnsi" w:cstheme="minorHAnsi"/>
                <w:sz w:val="20"/>
                <w:szCs w:val="20"/>
              </w:rPr>
            </w:pPr>
            <w:r w:rsidRPr="00DC1DF8">
              <w:rPr>
                <w:rFonts w:asciiTheme="minorHAnsi" w:hAnsiTheme="minorHAnsi" w:cstheme="minorHAnsi"/>
                <w:sz w:val="20"/>
                <w:szCs w:val="20"/>
              </w:rPr>
              <w:t>Substantiated complaints have resulted in either disciplinary action or contractual consequences and, if not, the entity is able to justify why not.</w:t>
            </w:r>
          </w:p>
        </w:tc>
      </w:tr>
    </w:tbl>
    <w:p w:rsidR="00FB38F8" w:rsidRPr="00DC1DF8" w:rsidRDefault="00FB38F8" w:rsidP="00E502EA">
      <w:pPr>
        <w:rPr>
          <w:rFonts w:asciiTheme="minorHAnsi" w:hAnsiTheme="minorHAnsi" w:cstheme="minorHAnsi"/>
          <w:b/>
          <w:sz w:val="20"/>
          <w:szCs w:val="20"/>
        </w:rPr>
      </w:pPr>
    </w:p>
    <w:sectPr w:rsidR="00FB38F8" w:rsidRPr="00DC1DF8" w:rsidSect="0028094C">
      <w:headerReference w:type="default" r:id="rId9"/>
      <w:foot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9BF" w:rsidRDefault="003E69BF" w:rsidP="001B5C69">
      <w:pPr>
        <w:spacing w:after="0" w:line="240" w:lineRule="auto"/>
      </w:pPr>
      <w:r>
        <w:separator/>
      </w:r>
    </w:p>
  </w:endnote>
  <w:endnote w:type="continuationSeparator" w:id="0">
    <w:p w:rsidR="003E69BF" w:rsidRDefault="003E69BF" w:rsidP="001B5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0483035"/>
      <w:docPartObj>
        <w:docPartGallery w:val="Page Numbers (Bottom of Page)"/>
        <w:docPartUnique/>
      </w:docPartObj>
    </w:sdtPr>
    <w:sdtEndPr>
      <w:rPr>
        <w:noProof/>
      </w:rPr>
    </w:sdtEndPr>
    <w:sdtContent>
      <w:p w:rsidR="00194714" w:rsidRDefault="00194714">
        <w:pPr>
          <w:pStyle w:val="Footer"/>
          <w:jc w:val="right"/>
        </w:pPr>
        <w:r>
          <w:fldChar w:fldCharType="begin"/>
        </w:r>
        <w:r>
          <w:instrText xml:space="preserve"> PAGE   \* MERGEFORMAT </w:instrText>
        </w:r>
        <w:r>
          <w:fldChar w:fldCharType="separate"/>
        </w:r>
        <w:r w:rsidR="00293F4A">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9BF" w:rsidRDefault="003E69BF" w:rsidP="001B5C69">
      <w:pPr>
        <w:spacing w:after="0" w:line="240" w:lineRule="auto"/>
      </w:pPr>
      <w:r>
        <w:separator/>
      </w:r>
    </w:p>
  </w:footnote>
  <w:footnote w:type="continuationSeparator" w:id="0">
    <w:p w:rsidR="003E69BF" w:rsidRDefault="003E69BF" w:rsidP="001B5C69">
      <w:pPr>
        <w:spacing w:after="0" w:line="240" w:lineRule="auto"/>
      </w:pPr>
      <w:r>
        <w:continuationSeparator/>
      </w:r>
    </w:p>
  </w:footnote>
  <w:footnote w:id="1">
    <w:p w:rsidR="00194714" w:rsidRPr="008F1143" w:rsidRDefault="00194714">
      <w:pPr>
        <w:pStyle w:val="FootnoteText"/>
        <w:rPr>
          <w:lang w:val="en-US"/>
        </w:rPr>
      </w:pPr>
      <w:r>
        <w:rPr>
          <w:rStyle w:val="FootnoteReference"/>
        </w:rPr>
        <w:footnoteRef/>
      </w:r>
      <w:r>
        <w:t xml:space="preserve"> </w:t>
      </w:r>
      <w:r>
        <w:rPr>
          <w:lang w:val="en-US"/>
        </w:rPr>
        <w:t xml:space="preserve">These MOS have been discussed among IASC PSEA </w:t>
      </w:r>
      <w:proofErr w:type="spellStart"/>
      <w:r>
        <w:rPr>
          <w:lang w:val="en-US"/>
        </w:rPr>
        <w:t>TaFo</w:t>
      </w:r>
      <w:proofErr w:type="spellEnd"/>
      <w:r>
        <w:rPr>
          <w:lang w:val="en-US"/>
        </w:rPr>
        <w:t xml:space="preserve"> Members; the document is work in progress and reflects the status of the Task Forces’ current thinking.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714" w:rsidRDefault="001947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6166"/>
    <w:multiLevelType w:val="hybridMultilevel"/>
    <w:tmpl w:val="581C8524"/>
    <w:lvl w:ilvl="0" w:tplc="345871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91A21"/>
    <w:multiLevelType w:val="hybridMultilevel"/>
    <w:tmpl w:val="4868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86DA4"/>
    <w:multiLevelType w:val="hybridMultilevel"/>
    <w:tmpl w:val="E28C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A48D6"/>
    <w:multiLevelType w:val="hybridMultilevel"/>
    <w:tmpl w:val="1CCE4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C74899"/>
    <w:multiLevelType w:val="hybridMultilevel"/>
    <w:tmpl w:val="D19E4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BC21D0"/>
    <w:multiLevelType w:val="hybridMultilevel"/>
    <w:tmpl w:val="DC4C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53513"/>
    <w:multiLevelType w:val="hybridMultilevel"/>
    <w:tmpl w:val="AAB69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E9480A"/>
    <w:multiLevelType w:val="hybridMultilevel"/>
    <w:tmpl w:val="E2A68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A77D8F"/>
    <w:multiLevelType w:val="hybridMultilevel"/>
    <w:tmpl w:val="549EA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1106E9"/>
    <w:multiLevelType w:val="hybridMultilevel"/>
    <w:tmpl w:val="6CCAF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B1282"/>
    <w:multiLevelType w:val="hybridMultilevel"/>
    <w:tmpl w:val="84AE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3300B5"/>
    <w:multiLevelType w:val="hybridMultilevel"/>
    <w:tmpl w:val="A9CC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6026E2"/>
    <w:multiLevelType w:val="hybridMultilevel"/>
    <w:tmpl w:val="C082E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27034EA"/>
    <w:multiLevelType w:val="hybridMultilevel"/>
    <w:tmpl w:val="C27CAD76"/>
    <w:lvl w:ilvl="0" w:tplc="3738BAF8">
      <w:start w:val="1"/>
      <w:numFmt w:val="decimal"/>
      <w:lvlText w:val="%1."/>
      <w:lvlJc w:val="left"/>
      <w:pPr>
        <w:tabs>
          <w:tab w:val="num" w:pos="900"/>
        </w:tabs>
        <w:ind w:left="900" w:hanging="720"/>
      </w:pPr>
      <w:rPr>
        <w:rFonts w:hint="default"/>
      </w:rPr>
    </w:lvl>
    <w:lvl w:ilvl="1" w:tplc="E85CBB16">
      <w:start w:val="1"/>
      <w:numFmt w:val="bullet"/>
      <w:lvlText w:val=""/>
      <w:lvlJc w:val="left"/>
      <w:pPr>
        <w:tabs>
          <w:tab w:val="num" w:pos="1296"/>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DDB329A"/>
    <w:multiLevelType w:val="hybridMultilevel"/>
    <w:tmpl w:val="F0D6D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11"/>
  </w:num>
  <w:num w:numId="4">
    <w:abstractNumId w:val="1"/>
  </w:num>
  <w:num w:numId="5">
    <w:abstractNumId w:val="0"/>
  </w:num>
  <w:num w:numId="6">
    <w:abstractNumId w:val="5"/>
  </w:num>
  <w:num w:numId="7">
    <w:abstractNumId w:val="12"/>
  </w:num>
  <w:num w:numId="8">
    <w:abstractNumId w:val="3"/>
  </w:num>
  <w:num w:numId="9">
    <w:abstractNumId w:val="8"/>
  </w:num>
  <w:num w:numId="10">
    <w:abstractNumId w:val="7"/>
  </w:num>
  <w:num w:numId="11">
    <w:abstractNumId w:val="4"/>
  </w:num>
  <w:num w:numId="12">
    <w:abstractNumId w:val="14"/>
  </w:num>
  <w:num w:numId="13">
    <w:abstractNumId w:val="6"/>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02EA"/>
    <w:rsid w:val="00031BE8"/>
    <w:rsid w:val="00087F6B"/>
    <w:rsid w:val="000C478D"/>
    <w:rsid w:val="00145357"/>
    <w:rsid w:val="001812A0"/>
    <w:rsid w:val="00194714"/>
    <w:rsid w:val="001B5C69"/>
    <w:rsid w:val="001C5C9C"/>
    <w:rsid w:val="001D511C"/>
    <w:rsid w:val="001D653C"/>
    <w:rsid w:val="001F188D"/>
    <w:rsid w:val="00226A58"/>
    <w:rsid w:val="00240E64"/>
    <w:rsid w:val="00266FB5"/>
    <w:rsid w:val="0028094C"/>
    <w:rsid w:val="00293F4A"/>
    <w:rsid w:val="002B656F"/>
    <w:rsid w:val="002D213E"/>
    <w:rsid w:val="003064E8"/>
    <w:rsid w:val="00315ED2"/>
    <w:rsid w:val="003165BC"/>
    <w:rsid w:val="00316B13"/>
    <w:rsid w:val="003455FC"/>
    <w:rsid w:val="0036023B"/>
    <w:rsid w:val="00367E33"/>
    <w:rsid w:val="003962C7"/>
    <w:rsid w:val="003B7E24"/>
    <w:rsid w:val="003C1D83"/>
    <w:rsid w:val="003E69BF"/>
    <w:rsid w:val="003F267A"/>
    <w:rsid w:val="00410D44"/>
    <w:rsid w:val="004220F4"/>
    <w:rsid w:val="00437B63"/>
    <w:rsid w:val="004633FF"/>
    <w:rsid w:val="00470B73"/>
    <w:rsid w:val="00494F70"/>
    <w:rsid w:val="004B30DC"/>
    <w:rsid w:val="004F2E46"/>
    <w:rsid w:val="00510179"/>
    <w:rsid w:val="00523F0B"/>
    <w:rsid w:val="00557DE0"/>
    <w:rsid w:val="00565CE2"/>
    <w:rsid w:val="00580468"/>
    <w:rsid w:val="005904F3"/>
    <w:rsid w:val="005A7614"/>
    <w:rsid w:val="005A7B05"/>
    <w:rsid w:val="005D0B37"/>
    <w:rsid w:val="005D25A6"/>
    <w:rsid w:val="005E3291"/>
    <w:rsid w:val="005E450A"/>
    <w:rsid w:val="00610C14"/>
    <w:rsid w:val="006311F4"/>
    <w:rsid w:val="006420E8"/>
    <w:rsid w:val="00665390"/>
    <w:rsid w:val="00694BDF"/>
    <w:rsid w:val="006B5C56"/>
    <w:rsid w:val="006D7196"/>
    <w:rsid w:val="00711D0E"/>
    <w:rsid w:val="0072580D"/>
    <w:rsid w:val="0073324F"/>
    <w:rsid w:val="007B4D8F"/>
    <w:rsid w:val="007C3BEE"/>
    <w:rsid w:val="007C5C1E"/>
    <w:rsid w:val="007C6B71"/>
    <w:rsid w:val="007F6CA1"/>
    <w:rsid w:val="00822151"/>
    <w:rsid w:val="008305B9"/>
    <w:rsid w:val="008320AD"/>
    <w:rsid w:val="008321BA"/>
    <w:rsid w:val="00861E59"/>
    <w:rsid w:val="00872506"/>
    <w:rsid w:val="008B02F1"/>
    <w:rsid w:val="008B5812"/>
    <w:rsid w:val="008D0938"/>
    <w:rsid w:val="008D575A"/>
    <w:rsid w:val="008E125C"/>
    <w:rsid w:val="008F1143"/>
    <w:rsid w:val="00907726"/>
    <w:rsid w:val="00953CD2"/>
    <w:rsid w:val="009718B2"/>
    <w:rsid w:val="00973264"/>
    <w:rsid w:val="009754CF"/>
    <w:rsid w:val="00975A36"/>
    <w:rsid w:val="009D7F9A"/>
    <w:rsid w:val="009E5D98"/>
    <w:rsid w:val="00A02691"/>
    <w:rsid w:val="00A1502A"/>
    <w:rsid w:val="00A60538"/>
    <w:rsid w:val="00A72A78"/>
    <w:rsid w:val="00A83CFA"/>
    <w:rsid w:val="00A8562E"/>
    <w:rsid w:val="00B03D0A"/>
    <w:rsid w:val="00B831B2"/>
    <w:rsid w:val="00B949F5"/>
    <w:rsid w:val="00BA28B2"/>
    <w:rsid w:val="00BB0D4A"/>
    <w:rsid w:val="00BC2CB7"/>
    <w:rsid w:val="00BE4007"/>
    <w:rsid w:val="00BF1E92"/>
    <w:rsid w:val="00C1701F"/>
    <w:rsid w:val="00C24DC0"/>
    <w:rsid w:val="00C54AC1"/>
    <w:rsid w:val="00CA1164"/>
    <w:rsid w:val="00CA3E2F"/>
    <w:rsid w:val="00CC18CC"/>
    <w:rsid w:val="00CF09D1"/>
    <w:rsid w:val="00D002F7"/>
    <w:rsid w:val="00D02CE1"/>
    <w:rsid w:val="00D065A6"/>
    <w:rsid w:val="00D20C3A"/>
    <w:rsid w:val="00D36DF6"/>
    <w:rsid w:val="00D417EA"/>
    <w:rsid w:val="00DA1B09"/>
    <w:rsid w:val="00DA4E26"/>
    <w:rsid w:val="00DB1080"/>
    <w:rsid w:val="00DC1DF8"/>
    <w:rsid w:val="00E35CB6"/>
    <w:rsid w:val="00E502EA"/>
    <w:rsid w:val="00E81835"/>
    <w:rsid w:val="00E94BDD"/>
    <w:rsid w:val="00EA0502"/>
    <w:rsid w:val="00EB788C"/>
    <w:rsid w:val="00EC3B03"/>
    <w:rsid w:val="00EF1C91"/>
    <w:rsid w:val="00EF5984"/>
    <w:rsid w:val="00F3544F"/>
    <w:rsid w:val="00F956AF"/>
    <w:rsid w:val="00FB38F8"/>
    <w:rsid w:val="00FB4598"/>
    <w:rsid w:val="00FB47D8"/>
    <w:rsid w:val="00FD4BB5"/>
    <w:rsid w:val="00FE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2EA"/>
    <w:rPr>
      <w:rFonts w:ascii="Calibri" w:eastAsia="Calibri" w:hAnsi="Calibri" w:cs="Times New Roman"/>
      <w:lang w:val="en-GB"/>
    </w:rPr>
  </w:style>
  <w:style w:type="paragraph" w:styleId="Heading1">
    <w:name w:val="heading 1"/>
    <w:basedOn w:val="Normal"/>
    <w:next w:val="Normal"/>
    <w:link w:val="Heading1Char"/>
    <w:uiPriority w:val="9"/>
    <w:qFormat/>
    <w:rsid w:val="00E502EA"/>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2EA"/>
    <w:rPr>
      <w:rFonts w:ascii="Cambria" w:eastAsia="Times New Roman" w:hAnsi="Cambria" w:cs="Times New Roman"/>
      <w:b/>
      <w:bCs/>
      <w:kern w:val="32"/>
      <w:sz w:val="32"/>
      <w:szCs w:val="32"/>
      <w:lang w:val="en-GB"/>
    </w:rPr>
  </w:style>
  <w:style w:type="paragraph" w:styleId="BalloonText">
    <w:name w:val="Balloon Text"/>
    <w:basedOn w:val="Normal"/>
    <w:link w:val="BalloonTextChar"/>
    <w:uiPriority w:val="99"/>
    <w:semiHidden/>
    <w:unhideWhenUsed/>
    <w:rsid w:val="00EF5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984"/>
    <w:rPr>
      <w:rFonts w:ascii="Tahoma" w:eastAsia="Calibri" w:hAnsi="Tahoma" w:cs="Tahoma"/>
      <w:sz w:val="16"/>
      <w:szCs w:val="16"/>
      <w:lang w:val="en-GB"/>
    </w:rPr>
  </w:style>
  <w:style w:type="paragraph" w:styleId="ListParagraph">
    <w:name w:val="List Paragraph"/>
    <w:basedOn w:val="Normal"/>
    <w:uiPriority w:val="34"/>
    <w:qFormat/>
    <w:rsid w:val="00CA3E2F"/>
    <w:pPr>
      <w:ind w:left="720"/>
      <w:contextualSpacing/>
    </w:pPr>
  </w:style>
  <w:style w:type="character" w:styleId="CommentReference">
    <w:name w:val="annotation reference"/>
    <w:basedOn w:val="DefaultParagraphFont"/>
    <w:uiPriority w:val="99"/>
    <w:semiHidden/>
    <w:unhideWhenUsed/>
    <w:rsid w:val="00B831B2"/>
    <w:rPr>
      <w:sz w:val="16"/>
      <w:szCs w:val="16"/>
    </w:rPr>
  </w:style>
  <w:style w:type="paragraph" w:styleId="CommentText">
    <w:name w:val="annotation text"/>
    <w:basedOn w:val="Normal"/>
    <w:link w:val="CommentTextChar"/>
    <w:uiPriority w:val="99"/>
    <w:semiHidden/>
    <w:unhideWhenUsed/>
    <w:rsid w:val="00B831B2"/>
    <w:pPr>
      <w:spacing w:line="240" w:lineRule="auto"/>
    </w:pPr>
    <w:rPr>
      <w:sz w:val="20"/>
      <w:szCs w:val="20"/>
    </w:rPr>
  </w:style>
  <w:style w:type="character" w:customStyle="1" w:styleId="CommentTextChar">
    <w:name w:val="Comment Text Char"/>
    <w:basedOn w:val="DefaultParagraphFont"/>
    <w:link w:val="CommentText"/>
    <w:uiPriority w:val="99"/>
    <w:semiHidden/>
    <w:rsid w:val="00B831B2"/>
    <w:rPr>
      <w:rFonts w:ascii="Calibri" w:eastAsia="Calibri" w:hAnsi="Calibri" w:cs="Times New Roman"/>
      <w:sz w:val="20"/>
      <w:szCs w:val="20"/>
      <w:lang w:val="en-GB"/>
    </w:rPr>
  </w:style>
  <w:style w:type="paragraph" w:styleId="Header">
    <w:name w:val="header"/>
    <w:basedOn w:val="Normal"/>
    <w:link w:val="HeaderChar"/>
    <w:uiPriority w:val="99"/>
    <w:unhideWhenUsed/>
    <w:rsid w:val="001B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C69"/>
    <w:rPr>
      <w:rFonts w:ascii="Calibri" w:eastAsia="Calibri" w:hAnsi="Calibri" w:cs="Times New Roman"/>
      <w:lang w:val="en-GB"/>
    </w:rPr>
  </w:style>
  <w:style w:type="paragraph" w:styleId="Footer">
    <w:name w:val="footer"/>
    <w:basedOn w:val="Normal"/>
    <w:link w:val="FooterChar"/>
    <w:uiPriority w:val="99"/>
    <w:unhideWhenUsed/>
    <w:rsid w:val="001B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C69"/>
    <w:rPr>
      <w:rFonts w:ascii="Calibri" w:eastAsia="Calibri" w:hAnsi="Calibri" w:cs="Times New Roman"/>
      <w:lang w:val="en-GB"/>
    </w:rPr>
  </w:style>
  <w:style w:type="paragraph" w:styleId="FootnoteText">
    <w:name w:val="footnote text"/>
    <w:basedOn w:val="Normal"/>
    <w:link w:val="FootnoteTextChar"/>
    <w:uiPriority w:val="99"/>
    <w:semiHidden/>
    <w:unhideWhenUsed/>
    <w:rsid w:val="00494F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4F70"/>
    <w:rPr>
      <w:rFonts w:ascii="Calibri" w:eastAsia="Calibri" w:hAnsi="Calibri" w:cs="Times New Roman"/>
      <w:sz w:val="20"/>
      <w:szCs w:val="20"/>
      <w:lang w:val="en-GB"/>
    </w:rPr>
  </w:style>
  <w:style w:type="character" w:styleId="FootnoteReference">
    <w:name w:val="footnote reference"/>
    <w:basedOn w:val="DefaultParagraphFont"/>
    <w:uiPriority w:val="99"/>
    <w:semiHidden/>
    <w:unhideWhenUsed/>
    <w:rsid w:val="00494F70"/>
    <w:rPr>
      <w:vertAlign w:val="superscript"/>
    </w:rPr>
  </w:style>
  <w:style w:type="character" w:styleId="Hyperlink">
    <w:name w:val="Hyperlink"/>
    <w:basedOn w:val="DefaultParagraphFont"/>
    <w:uiPriority w:val="99"/>
    <w:unhideWhenUsed/>
    <w:rsid w:val="005E3291"/>
    <w:rPr>
      <w:color w:val="0000FF" w:themeColor="hyperlink"/>
      <w:u w:val="single"/>
    </w:rPr>
  </w:style>
  <w:style w:type="character" w:styleId="FollowedHyperlink">
    <w:name w:val="FollowedHyperlink"/>
    <w:basedOn w:val="DefaultParagraphFont"/>
    <w:uiPriority w:val="99"/>
    <w:semiHidden/>
    <w:unhideWhenUsed/>
    <w:rsid w:val="00DB10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5223D-F6C5-4EC1-8895-A728E52DA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ohr_admin</dc:creator>
  <cp:lastModifiedBy>jaqueline</cp:lastModifiedBy>
  <cp:revision>3</cp:revision>
  <cp:lastPrinted>2012-04-12T20:33:00Z</cp:lastPrinted>
  <dcterms:created xsi:type="dcterms:W3CDTF">2013-01-17T14:52:00Z</dcterms:created>
  <dcterms:modified xsi:type="dcterms:W3CDTF">2013-01-17T14:58:00Z</dcterms:modified>
</cp:coreProperties>
</file>