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E0" w:rsidRDefault="000B5132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eastAsia="Arial" w:hAnsi="Arial" w:cs="Arial"/>
          <w:b/>
          <w:sz w:val="26"/>
          <w:szCs w:val="26"/>
        </w:rPr>
        <w:t xml:space="preserve">Правила сексуальної поведінки для працівників гуманітарних організацій </w:t>
      </w:r>
    </w:p>
    <w:p w:rsidR="00E06EE0" w:rsidRDefault="00E06EE0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E06EE0" w:rsidRDefault="000B5132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Працівники гуманітарних організацій </w:t>
      </w:r>
      <w:r>
        <w:rPr>
          <w:rFonts w:ascii="Arial" w:eastAsia="Arial" w:hAnsi="Arial" w:cs="Arial"/>
          <w:b/>
          <w:sz w:val="23"/>
          <w:szCs w:val="23"/>
        </w:rPr>
        <w:t>можуть бути дисциплінарно покарані – навіть звільнені – за неприйнятну поведінку щодо статі</w:t>
      </w:r>
      <w:r>
        <w:rPr>
          <w:rFonts w:ascii="Arial" w:eastAsia="Arial" w:hAnsi="Arial" w:cs="Arial"/>
          <w:sz w:val="23"/>
          <w:szCs w:val="23"/>
        </w:rPr>
        <w:t>. Нижче наведені правила, яких вони повинні дотримуватися:</w:t>
      </w:r>
    </w:p>
    <w:p w:rsidR="00E06EE0" w:rsidRDefault="00E06EE0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E06EE0" w:rsidRDefault="000B5132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Працівникам гуманітарних організацій</w:t>
      </w:r>
      <w:r>
        <w:rPr>
          <w:rFonts w:ascii="Arial" w:eastAsia="Arial" w:hAnsi="Arial" w:cs="Arial"/>
          <w:b/>
          <w:sz w:val="23"/>
          <w:szCs w:val="23"/>
        </w:rPr>
        <w:t xml:space="preserve"> не дозволяється мати сексуальні стосунки з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 xml:space="preserve"> особами,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 xml:space="preserve">що не досягли 18-річчя, навіть якщо це легально у країні перебування. </w:t>
      </w:r>
      <w:r>
        <w:rPr>
          <w:rFonts w:ascii="Arial" w:eastAsia="Arial" w:hAnsi="Arial" w:cs="Arial"/>
          <w:sz w:val="23"/>
          <w:szCs w:val="23"/>
        </w:rPr>
        <w:t>Посилання на незнання реального віку</w:t>
      </w:r>
      <w:r>
        <w:rPr>
          <w:rFonts w:ascii="Arial" w:eastAsia="Arial" w:hAnsi="Arial" w:cs="Arial"/>
          <w:sz w:val="23"/>
          <w:szCs w:val="23"/>
        </w:rPr>
        <w:t xml:space="preserve"> особи не є достатнім виправданням.</w:t>
      </w:r>
    </w:p>
    <w:p w:rsidR="00E06EE0" w:rsidRDefault="00E06EE0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bookmarkStart w:id="1" w:name="_gjdgxs" w:colFirst="0" w:colLast="0"/>
      <w:bookmarkEnd w:id="1"/>
    </w:p>
    <w:p w:rsidR="00E06EE0" w:rsidRDefault="000B5132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Працівникам гуманітарних організацій </w:t>
      </w:r>
      <w:r>
        <w:rPr>
          <w:rFonts w:ascii="Arial" w:eastAsia="Arial" w:hAnsi="Arial" w:cs="Arial"/>
          <w:b/>
          <w:sz w:val="23"/>
          <w:szCs w:val="23"/>
        </w:rPr>
        <w:t xml:space="preserve">не дозволяється платити за секс </w:t>
      </w: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за допомогою </w:t>
      </w:r>
      <w:r>
        <w:rPr>
          <w:rFonts w:ascii="Arial" w:eastAsia="Arial" w:hAnsi="Arial" w:cs="Arial"/>
          <w:b/>
          <w:sz w:val="23"/>
          <w:szCs w:val="23"/>
        </w:rPr>
        <w:t xml:space="preserve">грошей, праці, товарів чи послуг, </w:t>
      </w:r>
      <w:r>
        <w:rPr>
          <w:rFonts w:ascii="Arial" w:eastAsia="Arial" w:hAnsi="Arial" w:cs="Arial"/>
          <w:sz w:val="23"/>
          <w:szCs w:val="23"/>
        </w:rPr>
        <w:t>включаючи товари та послуги, призначені для людей, які потребують допомоги. Вони не повинні обіцяти ніч</w:t>
      </w:r>
      <w:r>
        <w:rPr>
          <w:rFonts w:ascii="Arial" w:eastAsia="Arial" w:hAnsi="Arial" w:cs="Arial"/>
          <w:sz w:val="23"/>
          <w:szCs w:val="23"/>
        </w:rPr>
        <w:t>ого, що змушує інших людей поводитися таким чином, що може призвести до їх приниження або експлуатації. Цей перелік включає в себе оплату чи пропозицію грошей за секс із повією.</w:t>
      </w:r>
    </w:p>
    <w:p w:rsidR="00E06EE0" w:rsidRDefault="00E06EE0">
      <w:pPr>
        <w:spacing w:after="0" w:line="240" w:lineRule="auto"/>
        <w:ind w:left="360"/>
        <w:rPr>
          <w:sz w:val="23"/>
          <w:szCs w:val="23"/>
        </w:rPr>
      </w:pPr>
    </w:p>
    <w:p w:rsidR="00E06EE0" w:rsidRDefault="000B5132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Працівники гуманітарних організацій мають вплив на тих, хто отримує товари і </w:t>
      </w:r>
      <w:r>
        <w:rPr>
          <w:rFonts w:ascii="Arial" w:eastAsia="Arial" w:hAnsi="Arial" w:cs="Arial"/>
          <w:sz w:val="23"/>
          <w:szCs w:val="23"/>
        </w:rPr>
        <w:t xml:space="preserve">послуги. Це ставить їх у позицію сили щодо людей, які потребують допомоги. З цієї причини гуманітарні організації </w:t>
      </w:r>
      <w:r>
        <w:rPr>
          <w:rFonts w:ascii="Arial" w:eastAsia="Arial" w:hAnsi="Arial" w:cs="Arial"/>
          <w:b/>
          <w:sz w:val="23"/>
          <w:szCs w:val="23"/>
        </w:rPr>
        <w:t>наполегливо закликають співробітників утримуватися від сексуальних стосунків будь з ким із постраждалих</w:t>
      </w:r>
      <w:r>
        <w:rPr>
          <w:rFonts w:ascii="Arial" w:eastAsia="Arial" w:hAnsi="Arial" w:cs="Arial"/>
          <w:sz w:val="23"/>
          <w:szCs w:val="23"/>
        </w:rPr>
        <w:t xml:space="preserve">  від надзвичайної ситуації гуманітарно</w:t>
      </w:r>
      <w:r>
        <w:rPr>
          <w:rFonts w:ascii="Arial" w:eastAsia="Arial" w:hAnsi="Arial" w:cs="Arial"/>
          <w:sz w:val="23"/>
          <w:szCs w:val="23"/>
        </w:rPr>
        <w:t xml:space="preserve">го характеру. Такі стосунки мають негативний вплив на гуманітарні дії, що робить їх менш чесними та порядними. </w:t>
      </w:r>
    </w:p>
    <w:p w:rsidR="00E06EE0" w:rsidRDefault="00E06EE0">
      <w:pPr>
        <w:spacing w:after="0" w:line="240" w:lineRule="auto"/>
        <w:ind w:left="360"/>
        <w:rPr>
          <w:rFonts w:ascii="Arial" w:eastAsia="Arial" w:hAnsi="Arial" w:cs="Arial"/>
          <w:sz w:val="23"/>
          <w:szCs w:val="23"/>
        </w:rPr>
      </w:pPr>
    </w:p>
    <w:p w:rsidR="00E06EE0" w:rsidRDefault="000B5132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2" w:name="_30j0zll" w:colFirst="0" w:colLast="0"/>
      <w:bookmarkEnd w:id="2"/>
      <w:r>
        <w:rPr>
          <w:rFonts w:ascii="Arial" w:eastAsia="Arial" w:hAnsi="Arial" w:cs="Arial"/>
          <w:sz w:val="23"/>
          <w:szCs w:val="23"/>
        </w:rPr>
        <w:t xml:space="preserve">Якщо працівник гуманітарної організації </w:t>
      </w:r>
      <w:r>
        <w:rPr>
          <w:rFonts w:ascii="Arial" w:eastAsia="Arial" w:hAnsi="Arial" w:cs="Arial"/>
          <w:b/>
          <w:sz w:val="23"/>
          <w:szCs w:val="23"/>
        </w:rPr>
        <w:t xml:space="preserve">стурбований або підозрює, </w:t>
      </w:r>
      <w:r>
        <w:rPr>
          <w:rFonts w:ascii="Arial" w:eastAsia="Arial" w:hAnsi="Arial" w:cs="Arial"/>
          <w:sz w:val="23"/>
          <w:szCs w:val="23"/>
        </w:rPr>
        <w:t>що хтось у його/її організації чи іншій організації з надання гуманітарної до</w:t>
      </w:r>
      <w:r>
        <w:rPr>
          <w:rFonts w:ascii="Arial" w:eastAsia="Arial" w:hAnsi="Arial" w:cs="Arial"/>
          <w:sz w:val="23"/>
          <w:szCs w:val="23"/>
        </w:rPr>
        <w:t xml:space="preserve">помоги порушує правила сексуальної поведінки для працівників гуманітарних організацій, він/вона </w:t>
      </w:r>
      <w:r>
        <w:rPr>
          <w:rFonts w:ascii="Arial" w:eastAsia="Arial" w:hAnsi="Arial" w:cs="Arial"/>
          <w:b/>
          <w:sz w:val="23"/>
          <w:szCs w:val="23"/>
        </w:rPr>
        <w:t xml:space="preserve">повинен (-нна) </w:t>
      </w:r>
      <w:r>
        <w:rPr>
          <w:rFonts w:ascii="Arial" w:eastAsia="Arial" w:hAnsi="Arial" w:cs="Arial"/>
          <w:sz w:val="23"/>
          <w:szCs w:val="23"/>
        </w:rPr>
        <w:t>повідомити про ситуацію, дотримуючись</w:t>
      </w:r>
      <w:r>
        <w:rPr>
          <w:rFonts w:ascii="Arial" w:eastAsia="Arial" w:hAnsi="Arial" w:cs="Arial"/>
          <w:b/>
          <w:sz w:val="23"/>
          <w:szCs w:val="23"/>
        </w:rPr>
        <w:t xml:space="preserve"> процедур,</w:t>
      </w:r>
      <w:r>
        <w:rPr>
          <w:rFonts w:ascii="Arial" w:eastAsia="Arial" w:hAnsi="Arial" w:cs="Arial"/>
          <w:sz w:val="23"/>
          <w:szCs w:val="23"/>
        </w:rPr>
        <w:t xml:space="preserve"> встановлених агентством. </w:t>
      </w:r>
    </w:p>
    <w:p w:rsidR="00E06EE0" w:rsidRDefault="00E06EE0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E06EE0" w:rsidRDefault="000B5132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Працівники гуманітарних організацій</w:t>
      </w:r>
      <w:r>
        <w:rPr>
          <w:rFonts w:ascii="Arial" w:eastAsia="Arial" w:hAnsi="Arial" w:cs="Arial"/>
          <w:b/>
          <w:sz w:val="23"/>
          <w:szCs w:val="23"/>
        </w:rPr>
        <w:t xml:space="preserve"> повинні створювати та підтримувати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робочу атмосферу, яка запобігає неприйнятній сексуальній поведінці та заохочує працівників поводитися згідно з </w:t>
      </w:r>
      <w:r>
        <w:rPr>
          <w:rFonts w:ascii="Arial" w:eastAsia="Arial" w:hAnsi="Arial" w:cs="Arial"/>
          <w:b/>
          <w:sz w:val="23"/>
          <w:szCs w:val="23"/>
        </w:rPr>
        <w:t xml:space="preserve">кодексом поведінки. Всі керівники </w:t>
      </w:r>
      <w:r>
        <w:rPr>
          <w:rFonts w:ascii="Arial" w:eastAsia="Arial" w:hAnsi="Arial" w:cs="Arial"/>
          <w:sz w:val="23"/>
          <w:szCs w:val="23"/>
        </w:rPr>
        <w:t xml:space="preserve">несуть відповідальність за підтримку та розробку систем, які сприяють такій атмосфері. </w:t>
      </w:r>
    </w:p>
    <w:p w:rsidR="00E06EE0" w:rsidRDefault="00E06EE0">
      <w:pPr>
        <w:rPr>
          <w:rFonts w:ascii="Arial" w:eastAsia="Arial" w:hAnsi="Arial" w:cs="Arial"/>
        </w:rPr>
      </w:pPr>
    </w:p>
    <w:p w:rsidR="00E06EE0" w:rsidRDefault="000B5132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Принципи Міжвідомчого</w:t>
      </w:r>
      <w:r>
        <w:rPr>
          <w:rFonts w:ascii="Arial" w:eastAsia="Arial" w:hAnsi="Arial" w:cs="Arial"/>
          <w:sz w:val="20"/>
          <w:szCs w:val="20"/>
        </w:rPr>
        <w:t xml:space="preserve"> постійного комітету (IASC) щодо сексуальної експлуатації та зловживання доступні за посиланням: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:rsidR="00E06EE0" w:rsidRDefault="000B513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Ця адаптована версія була розроблена у співпраці між Робочою групою Міжвідомчого постійного комітету (IASC) з питань підзвітності щодо постраждалого населення, захи</w:t>
      </w:r>
      <w:r>
        <w:rPr>
          <w:rFonts w:ascii="Arial" w:eastAsia="Arial" w:hAnsi="Arial" w:cs="Arial"/>
          <w:sz w:val="20"/>
          <w:szCs w:val="20"/>
        </w:rPr>
        <w:t>сту від сексуальної експлуатації і зловживань та Перекладачами без кордонів.</w:t>
      </w:r>
    </w:p>
    <w:sectPr w:rsidR="00E06EE0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5712F"/>
    <w:multiLevelType w:val="multilevel"/>
    <w:tmpl w:val="F490E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EE0"/>
    <w:rsid w:val="000B5132"/>
    <w:rsid w:val="00E0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EF737F-4EA8-4B40-B149-1EE7CB86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Pickering</cp:lastModifiedBy>
  <cp:revision>2</cp:revision>
  <dcterms:created xsi:type="dcterms:W3CDTF">2018-05-16T15:37:00Z</dcterms:created>
  <dcterms:modified xsi:type="dcterms:W3CDTF">2018-05-16T15:37:00Z</dcterms:modified>
</cp:coreProperties>
</file>