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D01BD" w14:textId="41E4B09F" w:rsidR="00805927" w:rsidRPr="00951D90" w:rsidRDefault="00200DAA" w:rsidP="009F3137">
      <w:pPr>
        <w:pStyle w:val="Title"/>
        <w:rPr>
          <w:lang w:val="en-GB"/>
        </w:rPr>
      </w:pPr>
      <w:r w:rsidRPr="00951D90">
        <w:rPr>
          <w:lang w:val="en-GB"/>
        </w:rPr>
        <w:t xml:space="preserve">Trainers Guide: </w:t>
      </w:r>
      <w:r w:rsidR="004301E6">
        <w:rPr>
          <w:lang w:val="en-GB"/>
        </w:rPr>
        <w:t>Getting to Know DHIS2</w:t>
      </w:r>
    </w:p>
    <w:p w14:paraId="3278562D" w14:textId="4BD6AC4A" w:rsidR="009F3137" w:rsidRPr="00951D90" w:rsidRDefault="004301E6" w:rsidP="009F3137">
      <w:pPr>
        <w:pStyle w:val="ChapterSubtitle"/>
        <w:rPr>
          <w:lang w:val="en-GB"/>
        </w:rPr>
      </w:pPr>
      <w:r>
        <w:rPr>
          <w:lang w:val="en-GB"/>
        </w:rPr>
        <w:t>Familiarisation with the system, navigation, data entry</w:t>
      </w:r>
    </w:p>
    <w:p w14:paraId="4D8EBDC2" w14:textId="77777777" w:rsidR="00200DAA" w:rsidRPr="00951D90" w:rsidRDefault="00200DAA" w:rsidP="00200DAA">
      <w:pPr>
        <w:pStyle w:val="Heading1"/>
        <w:rPr>
          <w:lang w:val="en-GB"/>
        </w:rPr>
      </w:pPr>
      <w:r w:rsidRPr="00951D90">
        <w:rPr>
          <w:lang w:val="en-GB"/>
        </w:rPr>
        <w:t>Introduction to this guide</w:t>
      </w:r>
    </w:p>
    <w:p w14:paraId="7812AB44" w14:textId="1FCAA052" w:rsidR="00200DAA" w:rsidRPr="00951D90" w:rsidRDefault="00200DAA" w:rsidP="00200DAA">
      <w:pPr>
        <w:pStyle w:val="BodyText"/>
        <w:rPr>
          <w:lang w:val="en-GB"/>
        </w:rPr>
      </w:pPr>
      <w:r w:rsidRPr="00951D90">
        <w:rPr>
          <w:lang w:val="en-GB"/>
        </w:rPr>
        <w:t xml:space="preserve">This guide is part of a support package for trainers who are teaching participants to use the Sudan FMOH DHIS2 platform. The main objective of this session is to </w:t>
      </w:r>
      <w:r w:rsidR="004301E6">
        <w:rPr>
          <w:lang w:val="en-GB"/>
        </w:rPr>
        <w:t>familiarise all</w:t>
      </w:r>
      <w:r w:rsidRPr="00951D90">
        <w:rPr>
          <w:lang w:val="en-GB"/>
        </w:rPr>
        <w:t xml:space="preserve"> participants </w:t>
      </w:r>
      <w:r w:rsidR="004301E6">
        <w:rPr>
          <w:lang w:val="en-GB"/>
        </w:rPr>
        <w:t>with the DHIS2 platform (it’s basic fun</w:t>
      </w:r>
      <w:bookmarkStart w:id="0" w:name="_GoBack"/>
      <w:bookmarkEnd w:id="0"/>
      <w:r w:rsidR="004301E6">
        <w:rPr>
          <w:lang w:val="en-GB"/>
        </w:rPr>
        <w:t>ctions) and how to navigate around the system</w:t>
      </w:r>
      <w:r w:rsidRPr="00951D90">
        <w:rPr>
          <w:lang w:val="en-GB"/>
        </w:rPr>
        <w:t>.</w:t>
      </w:r>
    </w:p>
    <w:p w14:paraId="58D6BAEA" w14:textId="7AA6B15F" w:rsidR="008262FE" w:rsidRPr="00951D90" w:rsidRDefault="00200DAA" w:rsidP="00200DAA">
      <w:pPr>
        <w:pStyle w:val="BodyText"/>
        <w:rPr>
          <w:lang w:val="en-GB"/>
        </w:rPr>
      </w:pPr>
      <w:r w:rsidRPr="00951D90">
        <w:rPr>
          <w:lang w:val="en-GB"/>
        </w:rPr>
        <w:t>This guide will help the trainer prepare and deliver a demo</w:t>
      </w:r>
      <w:r w:rsidR="00093ED1" w:rsidRPr="00951D90">
        <w:rPr>
          <w:lang w:val="en-GB"/>
        </w:rPr>
        <w:t>nstration</w:t>
      </w:r>
      <w:r w:rsidRPr="00951D90">
        <w:rPr>
          <w:lang w:val="en-GB"/>
        </w:rPr>
        <w:t xml:space="preserve"> of </w:t>
      </w:r>
      <w:r w:rsidR="004301E6">
        <w:rPr>
          <w:lang w:val="en-GB"/>
        </w:rPr>
        <w:t>the key parts of</w:t>
      </w:r>
      <w:r w:rsidR="00093ED1" w:rsidRPr="00951D90">
        <w:rPr>
          <w:lang w:val="en-GB"/>
        </w:rPr>
        <w:t xml:space="preserve"> </w:t>
      </w:r>
      <w:r w:rsidRPr="00951D90">
        <w:rPr>
          <w:lang w:val="en-GB"/>
        </w:rPr>
        <w:t>DHIS2</w:t>
      </w:r>
      <w:r w:rsidR="004301E6">
        <w:rPr>
          <w:lang w:val="en-GB"/>
        </w:rPr>
        <w:t>, with an emphasis on the organisation unit tree, data entry, and data analysis. The purpose of this session is to outline these functions at a very high level, and provide an opportunity for participants to navigate around the system using their user logins.</w:t>
      </w:r>
    </w:p>
    <w:p w14:paraId="7F415034" w14:textId="40CD8EFB" w:rsidR="00200DAA" w:rsidRPr="00951D90" w:rsidRDefault="008262FE" w:rsidP="00200DAA">
      <w:pPr>
        <w:pStyle w:val="BodyText"/>
        <w:rPr>
          <w:lang w:val="en-GB"/>
        </w:rPr>
      </w:pPr>
      <w:r w:rsidRPr="00951D90">
        <w:rPr>
          <w:lang w:val="en-GB"/>
        </w:rPr>
        <w:t>It</w:t>
      </w:r>
      <w:r w:rsidR="00200DAA" w:rsidRPr="00951D90">
        <w:rPr>
          <w:lang w:val="en-GB"/>
        </w:rPr>
        <w:t xml:space="preserve"> also provide</w:t>
      </w:r>
      <w:r w:rsidR="00093ED1" w:rsidRPr="00951D90">
        <w:rPr>
          <w:lang w:val="en-GB"/>
        </w:rPr>
        <w:t>s</w:t>
      </w:r>
      <w:r w:rsidRPr="00951D90">
        <w:rPr>
          <w:lang w:val="en-GB"/>
        </w:rPr>
        <w:t xml:space="preserve"> an </w:t>
      </w:r>
      <w:r w:rsidR="00093ED1" w:rsidRPr="00951D90">
        <w:rPr>
          <w:lang w:val="en-GB"/>
        </w:rPr>
        <w:t>outline</w:t>
      </w:r>
      <w:r w:rsidR="00200DAA" w:rsidRPr="00951D90">
        <w:rPr>
          <w:lang w:val="en-GB"/>
        </w:rPr>
        <w:t xml:space="preserve"> for delivering </w:t>
      </w:r>
      <w:r w:rsidRPr="00951D90">
        <w:rPr>
          <w:lang w:val="en-GB"/>
        </w:rPr>
        <w:t>two</w:t>
      </w:r>
      <w:r w:rsidR="00200DAA" w:rsidRPr="00951D90">
        <w:rPr>
          <w:lang w:val="en-GB"/>
        </w:rPr>
        <w:t xml:space="preserve"> exercise</w:t>
      </w:r>
      <w:r w:rsidRPr="00951D90">
        <w:rPr>
          <w:lang w:val="en-GB"/>
        </w:rPr>
        <w:t>s</w:t>
      </w:r>
      <w:r w:rsidR="00200DAA" w:rsidRPr="00951D90">
        <w:rPr>
          <w:lang w:val="en-GB"/>
        </w:rPr>
        <w:t xml:space="preserve"> to participants.</w:t>
      </w:r>
    </w:p>
    <w:p w14:paraId="6E24EC49" w14:textId="2C37FBA3" w:rsidR="000C3232" w:rsidRPr="00951D90" w:rsidRDefault="00093ED1" w:rsidP="00200DAA">
      <w:pPr>
        <w:pStyle w:val="BodyText"/>
        <w:rPr>
          <w:lang w:val="en-GB"/>
        </w:rPr>
      </w:pPr>
      <w:r w:rsidRPr="00951D90">
        <w:rPr>
          <w:lang w:val="en-GB"/>
        </w:rPr>
        <w:t xml:space="preserve">The ‘demonstration’ is outlined as a Quick Guide (a list of steps or ‘cheat sheet’) </w:t>
      </w:r>
      <w:r w:rsidR="008262FE" w:rsidRPr="00951D90">
        <w:rPr>
          <w:lang w:val="en-GB"/>
        </w:rPr>
        <w:t>while the exercises are also described in some detail</w:t>
      </w:r>
      <w:r w:rsidR="00200DAA" w:rsidRPr="00951D90">
        <w:rPr>
          <w:lang w:val="en-GB"/>
        </w:rPr>
        <w:t>.</w:t>
      </w:r>
      <w:r w:rsidR="008262FE" w:rsidRPr="00951D90">
        <w:rPr>
          <w:lang w:val="en-GB"/>
        </w:rPr>
        <w:t xml:space="preserve"> The participants can either download the exercises</w:t>
      </w:r>
      <w:r w:rsidR="00200DAA" w:rsidRPr="00951D90">
        <w:rPr>
          <w:lang w:val="en-GB"/>
        </w:rPr>
        <w:t xml:space="preserve"> </w:t>
      </w:r>
      <w:r w:rsidR="008262FE" w:rsidRPr="00951D90">
        <w:rPr>
          <w:lang w:val="en-GB"/>
        </w:rPr>
        <w:t>from DHIS2 once they have logged in or the trainer can hand them out separately.</w:t>
      </w:r>
    </w:p>
    <w:p w14:paraId="07AEC884" w14:textId="6ACE28D2" w:rsidR="00200DAA" w:rsidRPr="00951D90" w:rsidRDefault="000C3232" w:rsidP="00200DAA">
      <w:pPr>
        <w:pStyle w:val="BodyText"/>
        <w:rPr>
          <w:lang w:val="en-GB"/>
        </w:rPr>
      </w:pPr>
      <w:r w:rsidRPr="00951D90">
        <w:rPr>
          <w:lang w:val="en-GB"/>
        </w:rPr>
        <w:t xml:space="preserve">Trainers can use the </w:t>
      </w:r>
      <w:r w:rsidR="008262FE" w:rsidRPr="00951D90">
        <w:rPr>
          <w:lang w:val="en-GB"/>
        </w:rPr>
        <w:t>exercise</w:t>
      </w:r>
      <w:r w:rsidRPr="00951D90">
        <w:rPr>
          <w:lang w:val="en-GB"/>
        </w:rPr>
        <w:t xml:space="preserve"> walkthrough </w:t>
      </w:r>
      <w:r w:rsidR="008262FE" w:rsidRPr="00951D90">
        <w:rPr>
          <w:lang w:val="en-GB"/>
        </w:rPr>
        <w:t xml:space="preserve">to help them plan the session, </w:t>
      </w:r>
      <w:r w:rsidRPr="00951D90">
        <w:rPr>
          <w:lang w:val="en-GB"/>
        </w:rPr>
        <w:t xml:space="preserve">and use the Quick Guide as a </w:t>
      </w:r>
      <w:r w:rsidR="008262FE" w:rsidRPr="00951D90">
        <w:rPr>
          <w:lang w:val="en-GB"/>
        </w:rPr>
        <w:t xml:space="preserve">reminder </w:t>
      </w:r>
      <w:r w:rsidR="00227D65" w:rsidRPr="00951D90">
        <w:rPr>
          <w:lang w:val="en-GB"/>
        </w:rPr>
        <w:t>prompt</w:t>
      </w:r>
      <w:r w:rsidR="008262FE" w:rsidRPr="00951D90">
        <w:rPr>
          <w:lang w:val="en-GB"/>
        </w:rPr>
        <w:t xml:space="preserve"> while delivering the training</w:t>
      </w:r>
      <w:r w:rsidRPr="00951D90">
        <w:rPr>
          <w:lang w:val="en-GB"/>
        </w:rPr>
        <w:t>.</w:t>
      </w:r>
    </w:p>
    <w:p w14:paraId="109395B5" w14:textId="77777777" w:rsidR="00200DAA" w:rsidRPr="00951D90" w:rsidRDefault="00200DAA" w:rsidP="00200DAA">
      <w:pPr>
        <w:pStyle w:val="Heading1"/>
        <w:rPr>
          <w:lang w:val="en-GB"/>
        </w:rPr>
      </w:pPr>
      <w:r w:rsidRPr="00951D90">
        <w:rPr>
          <w:lang w:val="en-GB"/>
        </w:rPr>
        <w:t>Learning objectives for this session</w:t>
      </w:r>
    </w:p>
    <w:p w14:paraId="08E2FAAD" w14:textId="2DDAB705" w:rsidR="00200DAA" w:rsidRPr="00951D90" w:rsidRDefault="008C43D9" w:rsidP="000C3232">
      <w:pPr>
        <w:pStyle w:val="BodyText"/>
        <w:numPr>
          <w:ilvl w:val="0"/>
          <w:numId w:val="15"/>
        </w:numPr>
        <w:spacing w:before="60" w:after="60"/>
        <w:rPr>
          <w:lang w:val="en-GB"/>
        </w:rPr>
      </w:pPr>
      <w:r>
        <w:rPr>
          <w:lang w:val="en-GB"/>
        </w:rPr>
        <w:t>Become familiar with navigating around DHIS2</w:t>
      </w:r>
      <w:r w:rsidR="00200DAA" w:rsidRPr="00951D90">
        <w:rPr>
          <w:lang w:val="en-GB"/>
        </w:rPr>
        <w:t>.</w:t>
      </w:r>
    </w:p>
    <w:p w14:paraId="06B781FD" w14:textId="59A519C6" w:rsidR="00200DAA" w:rsidRPr="00951D90" w:rsidRDefault="004301E6" w:rsidP="000C3232">
      <w:pPr>
        <w:pStyle w:val="BodyText"/>
        <w:numPr>
          <w:ilvl w:val="0"/>
          <w:numId w:val="15"/>
        </w:numPr>
        <w:spacing w:before="60" w:after="60"/>
        <w:rPr>
          <w:lang w:val="en-GB"/>
        </w:rPr>
      </w:pPr>
      <w:r>
        <w:rPr>
          <w:lang w:val="en-GB"/>
        </w:rPr>
        <w:t xml:space="preserve">Understand the </w:t>
      </w:r>
      <w:r w:rsidR="008C43D9">
        <w:rPr>
          <w:lang w:val="en-GB"/>
        </w:rPr>
        <w:t xml:space="preserve">key </w:t>
      </w:r>
      <w:r>
        <w:rPr>
          <w:lang w:val="en-GB"/>
        </w:rPr>
        <w:t>conceptual components that make up DHIS2</w:t>
      </w:r>
    </w:p>
    <w:p w14:paraId="0AD7C115" w14:textId="423D1158" w:rsidR="00227D65" w:rsidRPr="00951D90" w:rsidRDefault="004301E6" w:rsidP="000C3232">
      <w:pPr>
        <w:pStyle w:val="BodyText"/>
        <w:numPr>
          <w:ilvl w:val="0"/>
          <w:numId w:val="15"/>
        </w:numPr>
        <w:spacing w:before="60" w:after="60"/>
        <w:rPr>
          <w:lang w:val="en-GB"/>
        </w:rPr>
      </w:pPr>
      <w:r>
        <w:rPr>
          <w:lang w:val="en-GB"/>
        </w:rPr>
        <w:t>Become familiar with the Organisation Unit tree.</w:t>
      </w:r>
    </w:p>
    <w:p w14:paraId="18C9C99A" w14:textId="1562ACCD" w:rsidR="00200DAA" w:rsidRPr="00951D90" w:rsidRDefault="004301E6" w:rsidP="000C3232">
      <w:pPr>
        <w:pStyle w:val="BodyText"/>
        <w:numPr>
          <w:ilvl w:val="0"/>
          <w:numId w:val="15"/>
        </w:numPr>
        <w:spacing w:before="60" w:after="60"/>
        <w:rPr>
          <w:lang w:val="en-GB"/>
        </w:rPr>
      </w:pPr>
      <w:r>
        <w:rPr>
          <w:lang w:val="en-GB"/>
        </w:rPr>
        <w:t>To become familiar with how to get to the Data Entry and Analysis Apps.</w:t>
      </w:r>
    </w:p>
    <w:p w14:paraId="1047DDA8" w14:textId="77777777" w:rsidR="00200DAA" w:rsidRPr="00951D90" w:rsidRDefault="00200DAA" w:rsidP="00200DAA">
      <w:pPr>
        <w:pStyle w:val="BodyText"/>
        <w:spacing w:before="60" w:after="60"/>
        <w:rPr>
          <w:lang w:val="en-GB"/>
        </w:rPr>
      </w:pPr>
      <w:r w:rsidRPr="00951D90">
        <w:rPr>
          <w:lang w:val="en-GB"/>
        </w:rPr>
        <w:t>Time needed</w:t>
      </w:r>
    </w:p>
    <w:p w14:paraId="300F3F2A" w14:textId="72687354" w:rsidR="00200DAA" w:rsidRPr="00951D90" w:rsidRDefault="008262FE" w:rsidP="000C3232">
      <w:pPr>
        <w:pStyle w:val="BodyText"/>
        <w:spacing w:before="60" w:after="60"/>
        <w:ind w:left="720"/>
        <w:rPr>
          <w:lang w:val="en-GB"/>
        </w:rPr>
      </w:pPr>
      <w:r w:rsidRPr="00951D90">
        <w:rPr>
          <w:lang w:val="en-GB"/>
        </w:rPr>
        <w:t>Introductory</w:t>
      </w:r>
      <w:r w:rsidR="00227D65" w:rsidRPr="00951D90">
        <w:rPr>
          <w:lang w:val="en-GB"/>
        </w:rPr>
        <w:t xml:space="preserve"> demo</w:t>
      </w:r>
      <w:r w:rsidRPr="00951D90">
        <w:rPr>
          <w:lang w:val="en-GB"/>
        </w:rPr>
        <w:t xml:space="preserve">nstration: </w:t>
      </w:r>
      <w:r w:rsidR="008C43D9">
        <w:rPr>
          <w:lang w:val="en-GB"/>
        </w:rPr>
        <w:t>2</w:t>
      </w:r>
      <w:r w:rsidR="006E7A1A" w:rsidRPr="00951D90">
        <w:rPr>
          <w:lang w:val="en-GB"/>
        </w:rPr>
        <w:t>0</w:t>
      </w:r>
      <w:r w:rsidR="00200DAA" w:rsidRPr="00951D90">
        <w:rPr>
          <w:lang w:val="en-GB"/>
        </w:rPr>
        <w:t xml:space="preserve"> minutes</w:t>
      </w:r>
    </w:p>
    <w:p w14:paraId="53F6EC86" w14:textId="7A0F16B7" w:rsidR="00200DAA" w:rsidRPr="00951D90" w:rsidRDefault="00200DAA" w:rsidP="000C3232">
      <w:pPr>
        <w:pStyle w:val="BodyText"/>
        <w:spacing w:before="60" w:after="60"/>
        <w:ind w:left="720"/>
        <w:rPr>
          <w:lang w:val="en-GB"/>
        </w:rPr>
      </w:pPr>
      <w:r w:rsidRPr="00951D90">
        <w:rPr>
          <w:lang w:val="en-GB"/>
        </w:rPr>
        <w:t xml:space="preserve">Hands­on exercises: </w:t>
      </w:r>
      <w:r w:rsidR="008C43D9">
        <w:rPr>
          <w:lang w:val="en-GB"/>
        </w:rPr>
        <w:t>15</w:t>
      </w:r>
      <w:r w:rsidR="00227D65" w:rsidRPr="00951D90">
        <w:rPr>
          <w:lang w:val="en-GB"/>
        </w:rPr>
        <w:t xml:space="preserve"> minutes</w:t>
      </w:r>
    </w:p>
    <w:p w14:paraId="42DCA859" w14:textId="6924A2C9" w:rsidR="00200DAA" w:rsidRPr="00951D90" w:rsidRDefault="00200DAA" w:rsidP="00200DAA">
      <w:pPr>
        <w:pStyle w:val="Heading1"/>
        <w:rPr>
          <w:lang w:val="en-GB"/>
        </w:rPr>
      </w:pPr>
      <w:r w:rsidRPr="00951D90">
        <w:rPr>
          <w:lang w:val="en-GB"/>
        </w:rPr>
        <w:lastRenderedPageBreak/>
        <w:t xml:space="preserve">Quick Guide - overview of steps for the </w:t>
      </w:r>
      <w:r w:rsidR="00641730" w:rsidRPr="00951D90">
        <w:rPr>
          <w:lang w:val="en-GB"/>
        </w:rPr>
        <w:t>demonstration</w:t>
      </w:r>
    </w:p>
    <w:p w14:paraId="60B3D3F9" w14:textId="77777777" w:rsidR="00974BE1" w:rsidRPr="00951D90" w:rsidRDefault="00974BE1" w:rsidP="00DE155D">
      <w:pPr>
        <w:rPr>
          <w:lang w:val="en-GB"/>
        </w:rPr>
      </w:pPr>
    </w:p>
    <w:tbl>
      <w:tblPr>
        <w:tblStyle w:val="BodyText-CheatSheet"/>
        <w:tblW w:w="8931" w:type="dxa"/>
        <w:tblInd w:w="-1593" w:type="dxa"/>
        <w:tblLayout w:type="fixed"/>
        <w:tblLook w:val="0600" w:firstRow="0" w:lastRow="0" w:firstColumn="0" w:lastColumn="0" w:noHBand="1" w:noVBand="1"/>
      </w:tblPr>
      <w:tblGrid>
        <w:gridCol w:w="5387"/>
        <w:gridCol w:w="3544"/>
      </w:tblGrid>
      <w:tr w:rsidR="00DE155D" w:rsidRPr="00951D90" w14:paraId="2F68615F" w14:textId="7C285AB8" w:rsidTr="00641730">
        <w:tc>
          <w:tcPr>
            <w:tcW w:w="5387" w:type="dxa"/>
          </w:tcPr>
          <w:p w14:paraId="77090096" w14:textId="431A18AD" w:rsidR="00DE155D" w:rsidRPr="00951D90" w:rsidRDefault="008C43D9" w:rsidP="00D661A0">
            <w:pPr>
              <w:pStyle w:val="BodyText"/>
              <w:numPr>
                <w:ilvl w:val="0"/>
                <w:numId w:val="19"/>
              </w:numPr>
              <w:spacing w:before="60" w:after="60"/>
              <w:rPr>
                <w:lang w:val="en-GB"/>
              </w:rPr>
            </w:pPr>
            <w:r>
              <w:rPr>
                <w:lang w:val="en-GB"/>
              </w:rPr>
              <w:t>Log into the system</w:t>
            </w:r>
          </w:p>
        </w:tc>
        <w:tc>
          <w:tcPr>
            <w:tcW w:w="3544" w:type="dxa"/>
          </w:tcPr>
          <w:p w14:paraId="332D3769" w14:textId="7E3056DB" w:rsidR="00DE155D" w:rsidRPr="00951D90" w:rsidRDefault="00DE155D" w:rsidP="00DE155D">
            <w:pPr>
              <w:pStyle w:val="BodyText"/>
              <w:rPr>
                <w:lang w:val="en-GB"/>
              </w:rPr>
            </w:pPr>
          </w:p>
        </w:tc>
      </w:tr>
      <w:tr w:rsidR="00615129" w:rsidRPr="00951D90" w14:paraId="076881B9" w14:textId="77777777" w:rsidTr="00641730">
        <w:tc>
          <w:tcPr>
            <w:tcW w:w="5387" w:type="dxa"/>
          </w:tcPr>
          <w:p w14:paraId="270788E0" w14:textId="5DAADB14" w:rsidR="00615129" w:rsidRDefault="00615129" w:rsidP="00615129">
            <w:pPr>
              <w:pStyle w:val="BodyText"/>
              <w:numPr>
                <w:ilvl w:val="0"/>
                <w:numId w:val="19"/>
              </w:numPr>
              <w:spacing w:before="60" w:after="60"/>
              <w:rPr>
                <w:lang w:val="en-GB"/>
              </w:rPr>
            </w:pPr>
            <w:r w:rsidRPr="00951D90">
              <w:rPr>
                <w:lang w:val="en-GB"/>
              </w:rPr>
              <w:t xml:space="preserve">Explain the concept of </w:t>
            </w:r>
            <w:r>
              <w:rPr>
                <w:lang w:val="en-GB"/>
              </w:rPr>
              <w:t>the Dashboard as a ‘blank canvas’ on which users can ‘pin’ items of interest. Some of those items will be available more that one person (e.g. a common State level EPI item), while some of them may be personal (e.g. a data completeness report for the facilities in that users locality).</w:t>
            </w:r>
          </w:p>
        </w:tc>
        <w:tc>
          <w:tcPr>
            <w:tcW w:w="3544" w:type="dxa"/>
          </w:tcPr>
          <w:p w14:paraId="671ABA43" w14:textId="77777777" w:rsidR="00615129" w:rsidRDefault="00615129" w:rsidP="00DE155D">
            <w:pPr>
              <w:pStyle w:val="BodyText"/>
              <w:rPr>
                <w:noProof/>
              </w:rPr>
            </w:pPr>
          </w:p>
        </w:tc>
      </w:tr>
      <w:tr w:rsidR="00615129" w:rsidRPr="00951D90" w14:paraId="6F72B1F8" w14:textId="77777777" w:rsidTr="00641730">
        <w:tc>
          <w:tcPr>
            <w:tcW w:w="5387" w:type="dxa"/>
          </w:tcPr>
          <w:p w14:paraId="1E227BA5" w14:textId="4E681769" w:rsidR="00615129" w:rsidRDefault="00615129" w:rsidP="00615129">
            <w:pPr>
              <w:pStyle w:val="BodyText"/>
              <w:numPr>
                <w:ilvl w:val="0"/>
                <w:numId w:val="19"/>
              </w:numPr>
              <w:spacing w:before="60" w:after="60"/>
              <w:rPr>
                <w:lang w:val="en-GB"/>
              </w:rPr>
            </w:pPr>
            <w:r>
              <w:rPr>
                <w:lang w:val="en-GB"/>
              </w:rPr>
              <w:t>Demonstrate how to get to the Dashboard:</w:t>
            </w:r>
          </w:p>
          <w:p w14:paraId="2BEE28DB" w14:textId="77777777" w:rsidR="00615129" w:rsidRDefault="00615129" w:rsidP="00615129">
            <w:pPr>
              <w:pStyle w:val="BodyText"/>
              <w:numPr>
                <w:ilvl w:val="1"/>
                <w:numId w:val="19"/>
              </w:numPr>
              <w:spacing w:before="60" w:after="60"/>
              <w:rPr>
                <w:lang w:val="en-GB"/>
              </w:rPr>
            </w:pPr>
            <w:r>
              <w:rPr>
                <w:lang w:val="en-GB"/>
              </w:rPr>
              <w:t xml:space="preserve">Via the header </w:t>
            </w:r>
            <w:r>
              <w:rPr>
                <w:noProof/>
              </w:rPr>
              <w:drawing>
                <wp:inline distT="0" distB="0" distL="0" distR="0" wp14:anchorId="6B4185BC" wp14:editId="4BB46359">
                  <wp:extent cx="864460" cy="348486"/>
                  <wp:effectExtent l="0" t="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4972" cy="348693"/>
                          </a:xfrm>
                          <a:prstGeom prst="rect">
                            <a:avLst/>
                          </a:prstGeom>
                          <a:noFill/>
                          <a:ln>
                            <a:noFill/>
                          </a:ln>
                        </pic:spPr>
                      </pic:pic>
                    </a:graphicData>
                  </a:graphic>
                </wp:inline>
              </w:drawing>
            </w:r>
          </w:p>
          <w:p w14:paraId="64514831" w14:textId="6AA23113" w:rsidR="00615129" w:rsidRPr="00951D90" w:rsidRDefault="00615129" w:rsidP="00615129">
            <w:pPr>
              <w:pStyle w:val="BodyText"/>
              <w:numPr>
                <w:ilvl w:val="1"/>
                <w:numId w:val="19"/>
              </w:numPr>
              <w:spacing w:before="60" w:after="60"/>
              <w:rPr>
                <w:lang w:val="en-GB"/>
              </w:rPr>
            </w:pPr>
            <w:r>
              <w:rPr>
                <w:lang w:val="en-GB"/>
              </w:rPr>
              <w:t>Via the Apps menu item</w:t>
            </w:r>
          </w:p>
        </w:tc>
        <w:tc>
          <w:tcPr>
            <w:tcW w:w="3544" w:type="dxa"/>
          </w:tcPr>
          <w:p w14:paraId="1D4B5E70" w14:textId="72568D96" w:rsidR="00615129" w:rsidRDefault="00615129" w:rsidP="00DE155D">
            <w:pPr>
              <w:pStyle w:val="BodyText"/>
              <w:rPr>
                <w:noProof/>
              </w:rPr>
            </w:pPr>
            <w:r>
              <w:rPr>
                <w:noProof/>
              </w:rPr>
              <w:drawing>
                <wp:inline distT="0" distB="0" distL="0" distR="0" wp14:anchorId="7D829A4A" wp14:editId="1666112E">
                  <wp:extent cx="2112010" cy="104394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2010" cy="1043940"/>
                          </a:xfrm>
                          <a:prstGeom prst="rect">
                            <a:avLst/>
                          </a:prstGeom>
                          <a:noFill/>
                          <a:ln>
                            <a:noFill/>
                          </a:ln>
                        </pic:spPr>
                      </pic:pic>
                    </a:graphicData>
                  </a:graphic>
                </wp:inline>
              </w:drawing>
            </w:r>
          </w:p>
        </w:tc>
      </w:tr>
      <w:tr w:rsidR="00DE155D" w:rsidRPr="00951D90" w14:paraId="1D4B5D76" w14:textId="68B386A4" w:rsidTr="00641730">
        <w:tc>
          <w:tcPr>
            <w:tcW w:w="5387" w:type="dxa"/>
          </w:tcPr>
          <w:p w14:paraId="526C3C1F" w14:textId="166E253F" w:rsidR="000035FF" w:rsidRPr="00615129" w:rsidRDefault="00615129" w:rsidP="00615129">
            <w:pPr>
              <w:pStyle w:val="BodyText"/>
              <w:numPr>
                <w:ilvl w:val="0"/>
                <w:numId w:val="19"/>
              </w:numPr>
              <w:spacing w:before="60" w:after="60"/>
              <w:rPr>
                <w:lang w:val="en-GB"/>
              </w:rPr>
            </w:pPr>
            <w:r>
              <w:rPr>
                <w:lang w:val="en-GB"/>
              </w:rPr>
              <w:t xml:space="preserve">Explain (and demonstrate) how that </w:t>
            </w:r>
            <w:r w:rsidR="000B40C4">
              <w:rPr>
                <w:lang w:val="en-GB"/>
              </w:rPr>
              <w:t>with the Dashboard one can ‘page</w:t>
            </w:r>
            <w:r>
              <w:rPr>
                <w:lang w:val="en-GB"/>
              </w:rPr>
              <w:t xml:space="preserve"> through’ different TAB’s. In most cases a TAB on the Dashboard will represent a theme, in which a number of different visualisations and reports are ‘collated’ or ‘brought together’ under a single area of interest (e.g. a EPI coverage table, EPI state-level map, EPI coverage charts etc.)</w:t>
            </w:r>
          </w:p>
        </w:tc>
        <w:tc>
          <w:tcPr>
            <w:tcW w:w="3544" w:type="dxa"/>
          </w:tcPr>
          <w:p w14:paraId="4A413711" w14:textId="32899069" w:rsidR="00DE155D" w:rsidRPr="00951D90" w:rsidRDefault="00615129" w:rsidP="00DE155D">
            <w:pPr>
              <w:pStyle w:val="BodyText"/>
              <w:rPr>
                <w:lang w:val="en-GB"/>
              </w:rPr>
            </w:pPr>
            <w:r w:rsidRPr="00615129">
              <w:rPr>
                <w:highlight w:val="yellow"/>
                <w:lang w:val="en-GB"/>
              </w:rPr>
              <w:t>Placeholder for image</w:t>
            </w:r>
          </w:p>
        </w:tc>
      </w:tr>
      <w:tr w:rsidR="00DE155D" w:rsidRPr="00951D90" w14:paraId="002E0D81" w14:textId="42EA59D2" w:rsidTr="00641730">
        <w:tc>
          <w:tcPr>
            <w:tcW w:w="5387" w:type="dxa"/>
          </w:tcPr>
          <w:p w14:paraId="3870C4C6" w14:textId="5939B63F" w:rsidR="00755B8C" w:rsidRDefault="00755B8C" w:rsidP="00D661A0">
            <w:pPr>
              <w:pStyle w:val="BodyText"/>
              <w:numPr>
                <w:ilvl w:val="0"/>
                <w:numId w:val="19"/>
              </w:numPr>
              <w:spacing w:before="60" w:after="60"/>
              <w:rPr>
                <w:lang w:val="en-GB"/>
              </w:rPr>
            </w:pPr>
            <w:r>
              <w:rPr>
                <w:lang w:val="en-GB"/>
              </w:rPr>
              <w:t>Demonstrate navigating through the TAB’s to get to the Documentation TAB. Explain that:</w:t>
            </w:r>
          </w:p>
          <w:p w14:paraId="239F762F" w14:textId="77777777" w:rsidR="00755B8C" w:rsidRDefault="00755B8C" w:rsidP="00755B8C">
            <w:pPr>
              <w:pStyle w:val="BodyText"/>
              <w:numPr>
                <w:ilvl w:val="1"/>
                <w:numId w:val="19"/>
              </w:numPr>
              <w:spacing w:before="60" w:after="60"/>
              <w:rPr>
                <w:lang w:val="en-GB"/>
              </w:rPr>
            </w:pPr>
            <w:r>
              <w:rPr>
                <w:lang w:val="en-GB"/>
              </w:rPr>
              <w:t>All the exercises for the training will be visible on this TAB; and</w:t>
            </w:r>
          </w:p>
          <w:p w14:paraId="6F4D366E" w14:textId="4BFF8CD1" w:rsidR="00DE155D" w:rsidRPr="00951D90" w:rsidRDefault="00755B8C" w:rsidP="00755B8C">
            <w:pPr>
              <w:pStyle w:val="BodyText"/>
              <w:numPr>
                <w:ilvl w:val="1"/>
                <w:numId w:val="19"/>
              </w:numPr>
              <w:spacing w:before="60" w:after="60"/>
              <w:rPr>
                <w:lang w:val="en-GB"/>
              </w:rPr>
            </w:pPr>
            <w:r>
              <w:rPr>
                <w:lang w:val="en-GB"/>
              </w:rPr>
              <w:t>The Documentation TAB will be available for all users as part of the production system. It is part of the custom ‘help’ that users can refer to if they forget how to do a specific function.</w:t>
            </w:r>
          </w:p>
        </w:tc>
        <w:tc>
          <w:tcPr>
            <w:tcW w:w="3544" w:type="dxa"/>
          </w:tcPr>
          <w:p w14:paraId="3384B48B" w14:textId="3D588473" w:rsidR="00DE155D" w:rsidRPr="00951D90" w:rsidRDefault="00EC1790" w:rsidP="00DE155D">
            <w:pPr>
              <w:pStyle w:val="BodyText"/>
              <w:rPr>
                <w:lang w:val="en-GB"/>
              </w:rPr>
            </w:pPr>
            <w:r>
              <w:rPr>
                <w:noProof/>
              </w:rPr>
              <w:drawing>
                <wp:inline distT="0" distB="0" distL="0" distR="0" wp14:anchorId="5A59292E" wp14:editId="47A5C3E2">
                  <wp:extent cx="2106295" cy="890905"/>
                  <wp:effectExtent l="0" t="0" r="190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6295" cy="890905"/>
                          </a:xfrm>
                          <a:prstGeom prst="rect">
                            <a:avLst/>
                          </a:prstGeom>
                          <a:noFill/>
                          <a:ln>
                            <a:noFill/>
                          </a:ln>
                        </pic:spPr>
                      </pic:pic>
                    </a:graphicData>
                  </a:graphic>
                </wp:inline>
              </w:drawing>
            </w:r>
          </w:p>
        </w:tc>
      </w:tr>
      <w:tr w:rsidR="00DE155D" w:rsidRPr="00951D90" w14:paraId="0E37F213" w14:textId="050EF784" w:rsidTr="00641730">
        <w:tc>
          <w:tcPr>
            <w:tcW w:w="5387" w:type="dxa"/>
          </w:tcPr>
          <w:p w14:paraId="01C8C4F1" w14:textId="6B0409D2" w:rsidR="00DE155D" w:rsidRPr="00951D90" w:rsidRDefault="00C95344" w:rsidP="00D661A0">
            <w:pPr>
              <w:pStyle w:val="BodyText"/>
              <w:numPr>
                <w:ilvl w:val="0"/>
                <w:numId w:val="19"/>
              </w:numPr>
              <w:spacing w:before="60" w:after="60"/>
              <w:rPr>
                <w:lang w:val="en-GB"/>
              </w:rPr>
            </w:pPr>
            <w:r>
              <w:rPr>
                <w:lang w:val="en-GB"/>
              </w:rPr>
              <w:t>Explain that in one of the later sessions, they will learn how to ‘pin’ their own items to the Dashboard and create their own thematic TAB’s.</w:t>
            </w:r>
          </w:p>
        </w:tc>
        <w:tc>
          <w:tcPr>
            <w:tcW w:w="3544" w:type="dxa"/>
          </w:tcPr>
          <w:p w14:paraId="2A3A2D37" w14:textId="20ED2B35" w:rsidR="00DE155D" w:rsidRPr="00951D90" w:rsidRDefault="00DE155D" w:rsidP="00DE155D">
            <w:pPr>
              <w:pStyle w:val="BodyText"/>
              <w:rPr>
                <w:lang w:val="en-GB"/>
              </w:rPr>
            </w:pPr>
          </w:p>
        </w:tc>
      </w:tr>
      <w:tr w:rsidR="00D661A0" w:rsidRPr="00951D90" w14:paraId="6C12110C" w14:textId="77777777" w:rsidTr="00641730">
        <w:tc>
          <w:tcPr>
            <w:tcW w:w="5387" w:type="dxa"/>
          </w:tcPr>
          <w:p w14:paraId="3887FB1A" w14:textId="6C55C684" w:rsidR="00DE6E30" w:rsidRDefault="00DE6E30" w:rsidP="00502E89">
            <w:pPr>
              <w:pStyle w:val="BodyText"/>
              <w:numPr>
                <w:ilvl w:val="0"/>
                <w:numId w:val="19"/>
              </w:numPr>
              <w:spacing w:before="60" w:after="60"/>
              <w:rPr>
                <w:lang w:val="en-GB"/>
              </w:rPr>
            </w:pPr>
            <w:r>
              <w:rPr>
                <w:lang w:val="en-GB"/>
              </w:rPr>
              <w:t xml:space="preserve">Explain that DHIS2 basically </w:t>
            </w:r>
            <w:r w:rsidR="002C6D85">
              <w:rPr>
                <w:lang w:val="en-GB"/>
              </w:rPr>
              <w:t>provides</w:t>
            </w:r>
            <w:r>
              <w:rPr>
                <w:lang w:val="en-GB"/>
              </w:rPr>
              <w:t xml:space="preserve"> 2 functions:</w:t>
            </w:r>
          </w:p>
          <w:p w14:paraId="5CF81827" w14:textId="638F51C8" w:rsidR="00D661A0" w:rsidRDefault="002C6D85" w:rsidP="00DE6E30">
            <w:pPr>
              <w:pStyle w:val="BodyText"/>
              <w:numPr>
                <w:ilvl w:val="1"/>
                <w:numId w:val="19"/>
              </w:numPr>
              <w:spacing w:before="60" w:after="60"/>
              <w:rPr>
                <w:lang w:val="en-GB"/>
              </w:rPr>
            </w:pPr>
            <w:r>
              <w:rPr>
                <w:lang w:val="en-GB"/>
              </w:rPr>
              <w:t>Capture of data from facilities (via forms);</w:t>
            </w:r>
            <w:r w:rsidR="00DE6E30">
              <w:rPr>
                <w:lang w:val="en-GB"/>
              </w:rPr>
              <w:t xml:space="preserve"> and</w:t>
            </w:r>
          </w:p>
          <w:p w14:paraId="0C0B76A2" w14:textId="1DB3B467" w:rsidR="002C6D85" w:rsidRPr="00951D90" w:rsidRDefault="002C6D85" w:rsidP="002C6D85">
            <w:pPr>
              <w:pStyle w:val="BodyText"/>
              <w:numPr>
                <w:ilvl w:val="1"/>
                <w:numId w:val="19"/>
              </w:numPr>
              <w:spacing w:before="60" w:after="60"/>
              <w:rPr>
                <w:lang w:val="en-GB"/>
              </w:rPr>
            </w:pPr>
            <w:r>
              <w:rPr>
                <w:lang w:val="en-GB"/>
              </w:rPr>
              <w:t>Analysis of data from facilities (via charts, tables, reports and maps)</w:t>
            </w:r>
          </w:p>
        </w:tc>
        <w:tc>
          <w:tcPr>
            <w:tcW w:w="3544" w:type="dxa"/>
          </w:tcPr>
          <w:p w14:paraId="2ED2E7C4" w14:textId="459F4E98" w:rsidR="00D661A0" w:rsidRPr="00951D90" w:rsidRDefault="00D661A0" w:rsidP="00DE155D">
            <w:pPr>
              <w:pStyle w:val="BodyText"/>
              <w:rPr>
                <w:lang w:val="en-GB"/>
              </w:rPr>
            </w:pPr>
          </w:p>
        </w:tc>
      </w:tr>
      <w:tr w:rsidR="00641730" w:rsidRPr="00951D90" w14:paraId="7AAD2D83" w14:textId="77777777" w:rsidTr="00641730">
        <w:tc>
          <w:tcPr>
            <w:tcW w:w="5387" w:type="dxa"/>
          </w:tcPr>
          <w:p w14:paraId="110B9F4C" w14:textId="4FDDBF15" w:rsidR="002C6D85" w:rsidRDefault="002C6D85" w:rsidP="002C6D85">
            <w:pPr>
              <w:pStyle w:val="BodyText"/>
              <w:numPr>
                <w:ilvl w:val="0"/>
                <w:numId w:val="19"/>
              </w:numPr>
              <w:spacing w:before="60" w:after="60"/>
              <w:rPr>
                <w:lang w:val="en-GB"/>
              </w:rPr>
            </w:pPr>
            <w:r>
              <w:rPr>
                <w:lang w:val="en-GB"/>
              </w:rPr>
              <w:t>Explain that for both Data Capture and for Analysis, make use of a ‘facility tree’. A facility tree is the hierarchy of facilities … by State and Locality. In DHIS all leaves (or nodes) in the facility tree are known as Organizational Units. It is important to note that:</w:t>
            </w:r>
          </w:p>
          <w:p w14:paraId="397B7253" w14:textId="77777777" w:rsidR="002C6D85" w:rsidRDefault="002C6D85" w:rsidP="002C6D85">
            <w:pPr>
              <w:pStyle w:val="BodyText"/>
              <w:numPr>
                <w:ilvl w:val="1"/>
                <w:numId w:val="19"/>
              </w:numPr>
              <w:spacing w:before="60" w:after="60"/>
              <w:rPr>
                <w:lang w:val="en-GB"/>
              </w:rPr>
            </w:pPr>
            <w:r>
              <w:rPr>
                <w:lang w:val="en-GB"/>
              </w:rPr>
              <w:t>Users see different parts of the tree, depending on their permissions.</w:t>
            </w:r>
          </w:p>
          <w:p w14:paraId="185B0C3D" w14:textId="44988D92" w:rsidR="002C6D85" w:rsidRPr="002C6D85" w:rsidRDefault="002C6D85" w:rsidP="002C6D85">
            <w:pPr>
              <w:pStyle w:val="BodyText"/>
              <w:numPr>
                <w:ilvl w:val="1"/>
                <w:numId w:val="19"/>
              </w:numPr>
              <w:spacing w:before="60" w:after="60"/>
              <w:rPr>
                <w:lang w:val="en-GB"/>
              </w:rPr>
            </w:pPr>
            <w:r>
              <w:rPr>
                <w:lang w:val="en-GB"/>
              </w:rPr>
              <w:t>Users may see different parts of the tree for data entry vs. analysis.</w:t>
            </w:r>
          </w:p>
        </w:tc>
        <w:tc>
          <w:tcPr>
            <w:tcW w:w="3544" w:type="dxa"/>
          </w:tcPr>
          <w:p w14:paraId="77F12F36" w14:textId="0D5DFE18" w:rsidR="00641730" w:rsidRPr="00951D90" w:rsidRDefault="002C6D85" w:rsidP="00DE155D">
            <w:pPr>
              <w:pStyle w:val="BodyText"/>
              <w:rPr>
                <w:noProof/>
                <w:lang w:val="en-GB"/>
              </w:rPr>
            </w:pPr>
            <w:r>
              <w:rPr>
                <w:noProof/>
              </w:rPr>
              <w:drawing>
                <wp:inline distT="0" distB="0" distL="0" distR="0" wp14:anchorId="065C35B0" wp14:editId="76602082">
                  <wp:extent cx="1364267" cy="1394621"/>
                  <wp:effectExtent l="0" t="0" r="7620" b="254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4532" cy="1394892"/>
                          </a:xfrm>
                          <a:prstGeom prst="rect">
                            <a:avLst/>
                          </a:prstGeom>
                          <a:noFill/>
                          <a:ln>
                            <a:noFill/>
                          </a:ln>
                        </pic:spPr>
                      </pic:pic>
                    </a:graphicData>
                  </a:graphic>
                </wp:inline>
              </w:drawing>
            </w:r>
          </w:p>
        </w:tc>
      </w:tr>
      <w:tr w:rsidR="00DE155D" w:rsidRPr="00951D90" w14:paraId="693CBE2F" w14:textId="58DAFB59" w:rsidTr="00641730">
        <w:tc>
          <w:tcPr>
            <w:tcW w:w="5387" w:type="dxa"/>
          </w:tcPr>
          <w:p w14:paraId="1DA8CC41" w14:textId="73A11D0C" w:rsidR="00990F90" w:rsidRDefault="00990F90" w:rsidP="00990F90">
            <w:pPr>
              <w:pStyle w:val="BodyText"/>
              <w:numPr>
                <w:ilvl w:val="0"/>
                <w:numId w:val="19"/>
              </w:numPr>
              <w:spacing w:before="60" w:after="60"/>
              <w:rPr>
                <w:lang w:val="en-GB"/>
              </w:rPr>
            </w:pPr>
            <w:r>
              <w:rPr>
                <w:lang w:val="en-GB"/>
              </w:rPr>
              <w:t>Demonstrate how to get to the first key functional area, i.e. Data Entry. Remind the participants that</w:t>
            </w:r>
            <w:r w:rsidR="001C7024">
              <w:rPr>
                <w:lang w:val="en-GB"/>
              </w:rPr>
              <w:t>:</w:t>
            </w:r>
          </w:p>
          <w:p w14:paraId="1F7761A5" w14:textId="6F280356" w:rsidR="00990F90" w:rsidRDefault="00990F90" w:rsidP="00990F90">
            <w:pPr>
              <w:pStyle w:val="BodyText"/>
              <w:numPr>
                <w:ilvl w:val="1"/>
                <w:numId w:val="19"/>
              </w:numPr>
              <w:spacing w:before="60" w:after="60"/>
              <w:rPr>
                <w:lang w:val="en-GB"/>
              </w:rPr>
            </w:pPr>
            <w:r>
              <w:rPr>
                <w:lang w:val="en-GB"/>
              </w:rPr>
              <w:t xml:space="preserve">If they are logged in as a Programme Manager trainee user (e.g. TR_045_PM), they will not see the Data Entry option. </w:t>
            </w:r>
          </w:p>
          <w:p w14:paraId="434FD8CB" w14:textId="3A95EBFB" w:rsidR="00641730" w:rsidRPr="001C7024" w:rsidRDefault="00990F90" w:rsidP="00990F90">
            <w:pPr>
              <w:pStyle w:val="BodyText"/>
              <w:numPr>
                <w:ilvl w:val="1"/>
                <w:numId w:val="19"/>
              </w:numPr>
              <w:spacing w:before="60" w:after="60"/>
              <w:rPr>
                <w:lang w:val="en-GB"/>
              </w:rPr>
            </w:pPr>
            <w:r>
              <w:rPr>
                <w:lang w:val="en-GB"/>
              </w:rPr>
              <w:t>If they are logged in as a Data Capture trainee (e.g. TR_045_DE), they will see the Data Entry option.</w:t>
            </w:r>
          </w:p>
        </w:tc>
        <w:tc>
          <w:tcPr>
            <w:tcW w:w="3544" w:type="dxa"/>
          </w:tcPr>
          <w:p w14:paraId="63E965FD" w14:textId="439BC369" w:rsidR="00DE155D" w:rsidRPr="00951D90" w:rsidRDefault="00990F90" w:rsidP="00DE155D">
            <w:pPr>
              <w:pStyle w:val="BodyText"/>
              <w:rPr>
                <w:lang w:val="en-GB"/>
              </w:rPr>
            </w:pPr>
            <w:r>
              <w:rPr>
                <w:noProof/>
              </w:rPr>
              <w:drawing>
                <wp:inline distT="0" distB="0" distL="0" distR="0" wp14:anchorId="49A46245" wp14:editId="425AC3B6">
                  <wp:extent cx="2112010" cy="1875790"/>
                  <wp:effectExtent l="0" t="0" r="0" b="381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2010" cy="1875790"/>
                          </a:xfrm>
                          <a:prstGeom prst="rect">
                            <a:avLst/>
                          </a:prstGeom>
                          <a:noFill/>
                          <a:ln>
                            <a:noFill/>
                          </a:ln>
                        </pic:spPr>
                      </pic:pic>
                    </a:graphicData>
                  </a:graphic>
                </wp:inline>
              </w:drawing>
            </w:r>
          </w:p>
        </w:tc>
      </w:tr>
      <w:tr w:rsidR="00510BCD" w:rsidRPr="00951D90" w14:paraId="3DF92B1C" w14:textId="497AF9E9" w:rsidTr="00641730">
        <w:tc>
          <w:tcPr>
            <w:tcW w:w="5387" w:type="dxa"/>
          </w:tcPr>
          <w:p w14:paraId="56065A1F" w14:textId="24D74ADF" w:rsidR="00990F90" w:rsidRDefault="001C7024" w:rsidP="00D661A0">
            <w:pPr>
              <w:pStyle w:val="BodyText"/>
              <w:numPr>
                <w:ilvl w:val="0"/>
                <w:numId w:val="19"/>
              </w:numPr>
              <w:spacing w:before="60" w:after="60"/>
              <w:rPr>
                <w:lang w:val="en-GB"/>
              </w:rPr>
            </w:pPr>
            <w:r>
              <w:rPr>
                <w:lang w:val="en-GB"/>
              </w:rPr>
              <w:t xml:space="preserve">Open up the Data Entry </w:t>
            </w:r>
            <w:r w:rsidR="00896A81">
              <w:rPr>
                <w:lang w:val="en-GB"/>
              </w:rPr>
              <w:t>App</w:t>
            </w:r>
            <w:r>
              <w:rPr>
                <w:lang w:val="en-GB"/>
              </w:rPr>
              <w:t xml:space="preserve"> to demonstrate the facility tree. Highlight that:</w:t>
            </w:r>
          </w:p>
          <w:p w14:paraId="771F7EFB" w14:textId="18300CCC" w:rsidR="001C7024" w:rsidRDefault="00896A81" w:rsidP="001C7024">
            <w:pPr>
              <w:pStyle w:val="BodyText"/>
              <w:numPr>
                <w:ilvl w:val="1"/>
                <w:numId w:val="19"/>
              </w:numPr>
              <w:spacing w:before="60" w:after="60"/>
              <w:rPr>
                <w:lang w:val="en-GB"/>
              </w:rPr>
            </w:pPr>
            <w:r>
              <w:rPr>
                <w:lang w:val="en-GB"/>
              </w:rPr>
              <w:t>Participants will only see part of the tree.</w:t>
            </w:r>
          </w:p>
          <w:p w14:paraId="1FBD058B" w14:textId="77777777" w:rsidR="00951D90" w:rsidRDefault="00896A81" w:rsidP="00896A81">
            <w:pPr>
              <w:pStyle w:val="BodyText"/>
              <w:numPr>
                <w:ilvl w:val="1"/>
                <w:numId w:val="19"/>
              </w:numPr>
              <w:spacing w:before="60" w:after="60"/>
              <w:rPr>
                <w:lang w:val="en-GB"/>
              </w:rPr>
            </w:pPr>
            <w:r>
              <w:rPr>
                <w:lang w:val="en-GB"/>
              </w:rPr>
              <w:t>The use of the forms will be covered in a later session.</w:t>
            </w:r>
          </w:p>
          <w:p w14:paraId="72600C79" w14:textId="1E78C822" w:rsidR="00896A81" w:rsidRDefault="00896A81" w:rsidP="00896A81">
            <w:pPr>
              <w:pStyle w:val="BodyText"/>
              <w:numPr>
                <w:ilvl w:val="1"/>
                <w:numId w:val="19"/>
              </w:numPr>
              <w:spacing w:before="60" w:after="60"/>
              <w:rPr>
                <w:lang w:val="en-GB"/>
              </w:rPr>
            </w:pPr>
            <w:r>
              <w:rPr>
                <w:lang w:val="en-GB"/>
              </w:rPr>
              <w:t>That the Programme Manager role is designed specifically NOT TO have access to data entry as insurance against ‘cooking the data’. Programme Managers can run data quality reports, can query unusual values, and run analysis, but cannot enter data.</w:t>
            </w:r>
          </w:p>
          <w:p w14:paraId="3D7EA127" w14:textId="429F6F9B" w:rsidR="00896A81" w:rsidRPr="00896A81" w:rsidRDefault="00896A81" w:rsidP="00896A81">
            <w:pPr>
              <w:pStyle w:val="BodyText"/>
              <w:spacing w:before="60" w:after="60"/>
              <w:ind w:left="720"/>
              <w:rPr>
                <w:lang w:val="en-GB"/>
              </w:rPr>
            </w:pPr>
          </w:p>
        </w:tc>
        <w:tc>
          <w:tcPr>
            <w:tcW w:w="3544" w:type="dxa"/>
          </w:tcPr>
          <w:p w14:paraId="0DD24434" w14:textId="4A4C95E6" w:rsidR="00510BCD" w:rsidRPr="00951D90" w:rsidRDefault="001C7024" w:rsidP="00DE155D">
            <w:pPr>
              <w:pStyle w:val="BodyText"/>
              <w:rPr>
                <w:lang w:val="en-GB"/>
              </w:rPr>
            </w:pPr>
            <w:r>
              <w:rPr>
                <w:noProof/>
              </w:rPr>
              <w:drawing>
                <wp:inline distT="0" distB="0" distL="0" distR="0" wp14:anchorId="3DA790F6" wp14:editId="6FE89FEF">
                  <wp:extent cx="2106295" cy="1097280"/>
                  <wp:effectExtent l="0" t="0" r="190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6295" cy="1097280"/>
                          </a:xfrm>
                          <a:prstGeom prst="rect">
                            <a:avLst/>
                          </a:prstGeom>
                          <a:noFill/>
                          <a:ln>
                            <a:noFill/>
                          </a:ln>
                        </pic:spPr>
                      </pic:pic>
                    </a:graphicData>
                  </a:graphic>
                </wp:inline>
              </w:drawing>
            </w:r>
          </w:p>
        </w:tc>
      </w:tr>
      <w:tr w:rsidR="00510BCD" w:rsidRPr="00951D90" w14:paraId="74F66E11" w14:textId="77777777" w:rsidTr="00641730">
        <w:tc>
          <w:tcPr>
            <w:tcW w:w="5387" w:type="dxa"/>
          </w:tcPr>
          <w:p w14:paraId="4E78882F" w14:textId="3A733274" w:rsidR="00510BCD" w:rsidRPr="00951D90" w:rsidRDefault="00896A81" w:rsidP="00896A81">
            <w:pPr>
              <w:pStyle w:val="BodyText"/>
              <w:numPr>
                <w:ilvl w:val="0"/>
                <w:numId w:val="19"/>
              </w:numPr>
              <w:spacing w:before="60" w:after="60"/>
              <w:rPr>
                <w:lang w:val="en-GB"/>
              </w:rPr>
            </w:pPr>
            <w:r>
              <w:rPr>
                <w:lang w:val="en-GB"/>
              </w:rPr>
              <w:t>Demonstrate how to get to the second key functional area, i.e. Analysis (charts, tables, reports and maps)</w:t>
            </w:r>
          </w:p>
        </w:tc>
        <w:tc>
          <w:tcPr>
            <w:tcW w:w="3544" w:type="dxa"/>
          </w:tcPr>
          <w:p w14:paraId="010D4400" w14:textId="31D6FD37" w:rsidR="00510BCD" w:rsidRPr="00951D90" w:rsidRDefault="00896A81" w:rsidP="00DE155D">
            <w:pPr>
              <w:pStyle w:val="BodyText"/>
              <w:rPr>
                <w:lang w:val="en-GB"/>
              </w:rPr>
            </w:pPr>
            <w:r>
              <w:rPr>
                <w:noProof/>
              </w:rPr>
              <w:drawing>
                <wp:inline distT="0" distB="0" distL="0" distR="0" wp14:anchorId="341AADC8" wp14:editId="278B9B71">
                  <wp:extent cx="2112010" cy="1875790"/>
                  <wp:effectExtent l="0" t="0" r="0" b="381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2010" cy="1875790"/>
                          </a:xfrm>
                          <a:prstGeom prst="rect">
                            <a:avLst/>
                          </a:prstGeom>
                          <a:noFill/>
                          <a:ln>
                            <a:noFill/>
                          </a:ln>
                        </pic:spPr>
                      </pic:pic>
                    </a:graphicData>
                  </a:graphic>
                </wp:inline>
              </w:drawing>
            </w:r>
          </w:p>
        </w:tc>
      </w:tr>
      <w:tr w:rsidR="00951D90" w:rsidRPr="00951D90" w14:paraId="25FBA9E9" w14:textId="77777777" w:rsidTr="00641730">
        <w:tc>
          <w:tcPr>
            <w:tcW w:w="5387" w:type="dxa"/>
          </w:tcPr>
          <w:p w14:paraId="4548778B" w14:textId="1A88C284" w:rsidR="00951D90" w:rsidRDefault="00896A81" w:rsidP="00D661A0">
            <w:pPr>
              <w:pStyle w:val="BodyText"/>
              <w:numPr>
                <w:ilvl w:val="0"/>
                <w:numId w:val="19"/>
              </w:numPr>
              <w:spacing w:before="60" w:after="60"/>
              <w:rPr>
                <w:lang w:val="en-GB"/>
              </w:rPr>
            </w:pPr>
            <w:r>
              <w:rPr>
                <w:lang w:val="en-GB"/>
              </w:rPr>
              <w:t xml:space="preserve">Click into the </w:t>
            </w:r>
            <w:r>
              <w:rPr>
                <w:noProof/>
              </w:rPr>
              <w:drawing>
                <wp:inline distT="0" distB="0" distL="0" distR="0" wp14:anchorId="365F4295" wp14:editId="17355C95">
                  <wp:extent cx="344395" cy="305814"/>
                  <wp:effectExtent l="0" t="0" r="1143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637" cy="306029"/>
                          </a:xfrm>
                          <a:prstGeom prst="rect">
                            <a:avLst/>
                          </a:prstGeom>
                          <a:noFill/>
                          <a:ln>
                            <a:noFill/>
                          </a:ln>
                        </pic:spPr>
                      </pic:pic>
                    </a:graphicData>
                  </a:graphic>
                </wp:inline>
              </w:drawing>
            </w:r>
            <w:r w:rsidR="000B3894">
              <w:rPr>
                <w:lang w:val="en-GB"/>
              </w:rPr>
              <w:t>area. Highlight that:</w:t>
            </w:r>
          </w:p>
          <w:p w14:paraId="2665C8D8" w14:textId="77777777" w:rsidR="000B3894" w:rsidRDefault="000B3894" w:rsidP="000B3894">
            <w:pPr>
              <w:pStyle w:val="BodyText"/>
              <w:numPr>
                <w:ilvl w:val="1"/>
                <w:numId w:val="19"/>
              </w:numPr>
              <w:spacing w:before="60" w:after="60"/>
              <w:rPr>
                <w:lang w:val="en-GB"/>
              </w:rPr>
            </w:pPr>
            <w:r>
              <w:rPr>
                <w:lang w:val="en-GB"/>
              </w:rPr>
              <w:t>Different types of charts are available in this area</w:t>
            </w:r>
          </w:p>
          <w:p w14:paraId="324E550C" w14:textId="07B3EC7E" w:rsidR="000B3894" w:rsidRDefault="000B3894" w:rsidP="000B3894">
            <w:pPr>
              <w:pStyle w:val="BodyText"/>
              <w:numPr>
                <w:ilvl w:val="1"/>
                <w:numId w:val="19"/>
              </w:numPr>
              <w:spacing w:before="60" w:after="60"/>
              <w:rPr>
                <w:lang w:val="en-GB"/>
              </w:rPr>
            </w:pPr>
            <w:r>
              <w:rPr>
                <w:lang w:val="en-GB"/>
              </w:rPr>
              <w:t xml:space="preserve">That organisational units (facility tree) </w:t>
            </w:r>
            <w:r w:rsidR="00EB4214">
              <w:rPr>
                <w:lang w:val="en-GB"/>
              </w:rPr>
              <w:t>are</w:t>
            </w:r>
            <w:r>
              <w:rPr>
                <w:lang w:val="en-GB"/>
              </w:rPr>
              <w:t xml:space="preserve"> accessible from here</w:t>
            </w:r>
          </w:p>
          <w:p w14:paraId="29AC0275" w14:textId="3A9B091F" w:rsidR="000B3894" w:rsidRPr="00951D90" w:rsidRDefault="000B3894" w:rsidP="000B3894">
            <w:pPr>
              <w:pStyle w:val="BodyText"/>
              <w:numPr>
                <w:ilvl w:val="1"/>
                <w:numId w:val="19"/>
              </w:numPr>
              <w:spacing w:before="60" w:after="60"/>
              <w:rPr>
                <w:lang w:val="en-GB"/>
              </w:rPr>
            </w:pPr>
            <w:r>
              <w:rPr>
                <w:lang w:val="en-GB"/>
              </w:rPr>
              <w:t>Charts will be covered later.</w:t>
            </w:r>
          </w:p>
        </w:tc>
        <w:tc>
          <w:tcPr>
            <w:tcW w:w="3544" w:type="dxa"/>
          </w:tcPr>
          <w:p w14:paraId="46E6F96D" w14:textId="73E2223D" w:rsidR="00951D90" w:rsidRPr="00951D90" w:rsidRDefault="000B3894" w:rsidP="000B3894">
            <w:pPr>
              <w:pStyle w:val="BodyText"/>
              <w:spacing w:before="120" w:after="120"/>
              <w:rPr>
                <w:lang w:val="en-GB"/>
              </w:rPr>
            </w:pPr>
            <w:r>
              <w:rPr>
                <w:noProof/>
              </w:rPr>
              <w:drawing>
                <wp:inline distT="0" distB="0" distL="0" distR="0" wp14:anchorId="48588648" wp14:editId="24192661">
                  <wp:extent cx="2106295" cy="1132840"/>
                  <wp:effectExtent l="0" t="0" r="1905" b="1016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6295" cy="1132840"/>
                          </a:xfrm>
                          <a:prstGeom prst="rect">
                            <a:avLst/>
                          </a:prstGeom>
                          <a:noFill/>
                          <a:ln>
                            <a:noFill/>
                          </a:ln>
                        </pic:spPr>
                      </pic:pic>
                    </a:graphicData>
                  </a:graphic>
                </wp:inline>
              </w:drawing>
            </w:r>
          </w:p>
        </w:tc>
      </w:tr>
      <w:tr w:rsidR="00254193" w:rsidRPr="00951D90" w14:paraId="3B8CC84A" w14:textId="77777777" w:rsidTr="00641730">
        <w:tc>
          <w:tcPr>
            <w:tcW w:w="5387" w:type="dxa"/>
          </w:tcPr>
          <w:p w14:paraId="12591170" w14:textId="77777777" w:rsidR="00254193" w:rsidRDefault="000B3894" w:rsidP="000B3894">
            <w:pPr>
              <w:pStyle w:val="BodyText"/>
              <w:numPr>
                <w:ilvl w:val="0"/>
                <w:numId w:val="19"/>
              </w:numPr>
              <w:spacing w:before="60" w:after="60"/>
              <w:rPr>
                <w:lang w:val="en-GB"/>
              </w:rPr>
            </w:pPr>
            <w:r>
              <w:rPr>
                <w:lang w:val="en-GB"/>
              </w:rPr>
              <w:t xml:space="preserve">Click into the </w:t>
            </w:r>
            <w:r>
              <w:rPr>
                <w:noProof/>
              </w:rPr>
              <w:drawing>
                <wp:inline distT="0" distB="0" distL="0" distR="0" wp14:anchorId="550F4DB3" wp14:editId="2A3E8544">
                  <wp:extent cx="330425" cy="333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877" cy="334003"/>
                          </a:xfrm>
                          <a:prstGeom prst="rect">
                            <a:avLst/>
                          </a:prstGeom>
                          <a:noFill/>
                          <a:ln>
                            <a:noFill/>
                          </a:ln>
                        </pic:spPr>
                      </pic:pic>
                    </a:graphicData>
                  </a:graphic>
                </wp:inline>
              </w:drawing>
            </w:r>
            <w:r>
              <w:rPr>
                <w:lang w:val="en-GB"/>
              </w:rPr>
              <w:t>area. Highlight that:</w:t>
            </w:r>
          </w:p>
          <w:p w14:paraId="6FB223E6" w14:textId="1C478940" w:rsidR="000B3894" w:rsidRDefault="000B3894" w:rsidP="000B3894">
            <w:pPr>
              <w:pStyle w:val="BodyText"/>
              <w:numPr>
                <w:ilvl w:val="1"/>
                <w:numId w:val="19"/>
              </w:numPr>
              <w:spacing w:before="60" w:after="60"/>
              <w:rPr>
                <w:lang w:val="en-GB"/>
              </w:rPr>
            </w:pPr>
            <w:r>
              <w:rPr>
                <w:lang w:val="en-GB"/>
              </w:rPr>
              <w:t xml:space="preserve">That organisational units (facility tree) </w:t>
            </w:r>
            <w:r w:rsidR="00EB4214">
              <w:rPr>
                <w:lang w:val="en-GB"/>
              </w:rPr>
              <w:t>are</w:t>
            </w:r>
            <w:r>
              <w:rPr>
                <w:lang w:val="en-GB"/>
              </w:rPr>
              <w:t xml:space="preserve"> accessible from here</w:t>
            </w:r>
          </w:p>
          <w:p w14:paraId="01AD0027" w14:textId="7F692168" w:rsidR="000B3894" w:rsidRPr="000B3894" w:rsidRDefault="00EB4214" w:rsidP="000B3894">
            <w:pPr>
              <w:pStyle w:val="BodyText"/>
              <w:numPr>
                <w:ilvl w:val="1"/>
                <w:numId w:val="19"/>
              </w:numPr>
              <w:spacing w:before="60" w:after="60"/>
              <w:rPr>
                <w:lang w:val="en-GB"/>
              </w:rPr>
            </w:pPr>
            <w:r>
              <w:rPr>
                <w:lang w:val="en-GB"/>
              </w:rPr>
              <w:t xml:space="preserve">Pivot </w:t>
            </w:r>
            <w:r w:rsidR="000B3894">
              <w:rPr>
                <w:lang w:val="en-GB"/>
              </w:rPr>
              <w:t>Tables</w:t>
            </w:r>
            <w:r w:rsidR="000B3894" w:rsidRPr="000B3894">
              <w:rPr>
                <w:lang w:val="en-GB"/>
              </w:rPr>
              <w:t xml:space="preserve"> will be covered </w:t>
            </w:r>
            <w:r>
              <w:rPr>
                <w:lang w:val="en-GB"/>
              </w:rPr>
              <w:t>in a later session.</w:t>
            </w:r>
          </w:p>
        </w:tc>
        <w:tc>
          <w:tcPr>
            <w:tcW w:w="3544" w:type="dxa"/>
          </w:tcPr>
          <w:p w14:paraId="64EB8CFE" w14:textId="0BEFC289" w:rsidR="00254193" w:rsidRPr="00951D90" w:rsidRDefault="00EB4214" w:rsidP="00254193">
            <w:pPr>
              <w:pStyle w:val="BodyText"/>
              <w:rPr>
                <w:lang w:val="en-GB"/>
              </w:rPr>
            </w:pPr>
            <w:r>
              <w:rPr>
                <w:noProof/>
              </w:rPr>
              <w:drawing>
                <wp:inline distT="0" distB="0" distL="0" distR="0" wp14:anchorId="7F9CF5FB" wp14:editId="42DF4F3D">
                  <wp:extent cx="2112010" cy="116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010" cy="1162050"/>
                          </a:xfrm>
                          <a:prstGeom prst="rect">
                            <a:avLst/>
                          </a:prstGeom>
                          <a:noFill/>
                          <a:ln>
                            <a:noFill/>
                          </a:ln>
                        </pic:spPr>
                      </pic:pic>
                    </a:graphicData>
                  </a:graphic>
                </wp:inline>
              </w:drawing>
            </w:r>
          </w:p>
        </w:tc>
      </w:tr>
      <w:tr w:rsidR="00EB4214" w:rsidRPr="00951D90" w14:paraId="0DB189F0" w14:textId="77777777" w:rsidTr="00641730">
        <w:tc>
          <w:tcPr>
            <w:tcW w:w="5387" w:type="dxa"/>
          </w:tcPr>
          <w:p w14:paraId="2E0E81BE" w14:textId="43099D3B" w:rsidR="00EB4214" w:rsidRDefault="00EB4214" w:rsidP="000B3894">
            <w:pPr>
              <w:pStyle w:val="BodyText"/>
              <w:numPr>
                <w:ilvl w:val="0"/>
                <w:numId w:val="19"/>
              </w:numPr>
              <w:spacing w:before="60" w:after="60"/>
              <w:rPr>
                <w:lang w:val="en-GB"/>
              </w:rPr>
            </w:pPr>
            <w:r>
              <w:rPr>
                <w:lang w:val="en-GB"/>
              </w:rPr>
              <w:t xml:space="preserve">Click into the </w:t>
            </w:r>
            <w:r>
              <w:rPr>
                <w:noProof/>
              </w:rPr>
              <w:drawing>
                <wp:inline distT="0" distB="0" distL="0" distR="0" wp14:anchorId="6D6CA267" wp14:editId="304A65A5">
                  <wp:extent cx="369160" cy="299651"/>
                  <wp:effectExtent l="0" t="0" r="1206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60" cy="299651"/>
                          </a:xfrm>
                          <a:prstGeom prst="rect">
                            <a:avLst/>
                          </a:prstGeom>
                          <a:noFill/>
                          <a:ln>
                            <a:noFill/>
                          </a:ln>
                        </pic:spPr>
                      </pic:pic>
                    </a:graphicData>
                  </a:graphic>
                </wp:inline>
              </w:drawing>
            </w:r>
            <w:r>
              <w:rPr>
                <w:lang w:val="en-GB"/>
              </w:rPr>
              <w:t xml:space="preserve">area. </w:t>
            </w:r>
            <w:r w:rsidR="000B0C11">
              <w:rPr>
                <w:lang w:val="en-GB"/>
              </w:rPr>
              <w:t>Note that:</w:t>
            </w:r>
          </w:p>
          <w:p w14:paraId="65580C6B" w14:textId="77777777" w:rsidR="000B0C11" w:rsidRDefault="000B0C11" w:rsidP="000B0C11">
            <w:pPr>
              <w:pStyle w:val="BodyText"/>
              <w:numPr>
                <w:ilvl w:val="1"/>
                <w:numId w:val="19"/>
              </w:numPr>
              <w:spacing w:before="60" w:after="60"/>
              <w:rPr>
                <w:lang w:val="en-GB"/>
              </w:rPr>
            </w:pPr>
            <w:r>
              <w:rPr>
                <w:lang w:val="en-GB"/>
              </w:rPr>
              <w:t>Maps may or may not be visible depending on connectivity and bandwidth.</w:t>
            </w:r>
          </w:p>
          <w:p w14:paraId="696AD8BC" w14:textId="77777777" w:rsidR="000B0C11" w:rsidRDefault="000B0C11" w:rsidP="000B0C11">
            <w:pPr>
              <w:pStyle w:val="BodyText"/>
              <w:numPr>
                <w:ilvl w:val="1"/>
                <w:numId w:val="19"/>
              </w:numPr>
              <w:spacing w:before="60" w:after="60"/>
              <w:rPr>
                <w:lang w:val="en-GB"/>
              </w:rPr>
            </w:pPr>
            <w:r>
              <w:rPr>
                <w:lang w:val="en-GB"/>
              </w:rPr>
              <w:t>That ‘boundary’ layers for States and Localities have been loaded.</w:t>
            </w:r>
          </w:p>
          <w:p w14:paraId="67DEC335" w14:textId="62E1C0B7" w:rsidR="000B0C11" w:rsidRDefault="000B0C11" w:rsidP="000B0C11">
            <w:pPr>
              <w:pStyle w:val="BodyText"/>
              <w:numPr>
                <w:ilvl w:val="1"/>
                <w:numId w:val="19"/>
              </w:numPr>
              <w:spacing w:before="60" w:after="60"/>
              <w:rPr>
                <w:lang w:val="en-GB"/>
              </w:rPr>
            </w:pPr>
            <w:r>
              <w:rPr>
                <w:lang w:val="en-GB"/>
              </w:rPr>
              <w:t>That Maps will be covered in a later session</w:t>
            </w:r>
          </w:p>
        </w:tc>
        <w:tc>
          <w:tcPr>
            <w:tcW w:w="3544" w:type="dxa"/>
          </w:tcPr>
          <w:p w14:paraId="67F3C3F5" w14:textId="25043914" w:rsidR="00EB4214" w:rsidRDefault="000B0C11" w:rsidP="00254193">
            <w:pPr>
              <w:pStyle w:val="BodyText"/>
              <w:rPr>
                <w:noProof/>
              </w:rPr>
            </w:pPr>
            <w:r>
              <w:rPr>
                <w:noProof/>
              </w:rPr>
              <w:drawing>
                <wp:inline distT="0" distB="0" distL="0" distR="0" wp14:anchorId="3EC0C0FD" wp14:editId="61661A1A">
                  <wp:extent cx="2112010" cy="1592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2010" cy="1592580"/>
                          </a:xfrm>
                          <a:prstGeom prst="rect">
                            <a:avLst/>
                          </a:prstGeom>
                          <a:noFill/>
                          <a:ln>
                            <a:noFill/>
                          </a:ln>
                        </pic:spPr>
                      </pic:pic>
                    </a:graphicData>
                  </a:graphic>
                </wp:inline>
              </w:drawing>
            </w:r>
          </w:p>
        </w:tc>
      </w:tr>
      <w:tr w:rsidR="000B0C11" w:rsidRPr="00951D90" w14:paraId="610F49C3" w14:textId="77777777" w:rsidTr="00641730">
        <w:tc>
          <w:tcPr>
            <w:tcW w:w="5387" w:type="dxa"/>
          </w:tcPr>
          <w:p w14:paraId="09718069" w14:textId="699219FA" w:rsidR="000B0C11" w:rsidRDefault="000B0C11" w:rsidP="000B3894">
            <w:pPr>
              <w:pStyle w:val="BodyText"/>
              <w:numPr>
                <w:ilvl w:val="0"/>
                <w:numId w:val="19"/>
              </w:numPr>
              <w:spacing w:before="60" w:after="60"/>
              <w:rPr>
                <w:lang w:val="en-GB"/>
              </w:rPr>
            </w:pPr>
            <w:r>
              <w:rPr>
                <w:lang w:val="en-GB"/>
              </w:rPr>
              <w:t>Demonstrate that it is possible to switch between Maps, Charts and Tables, and highlight that if a specific analysis is being worked on (i.e. a set of values), it is possible switch the view of that data.</w:t>
            </w:r>
          </w:p>
        </w:tc>
        <w:tc>
          <w:tcPr>
            <w:tcW w:w="3544" w:type="dxa"/>
          </w:tcPr>
          <w:p w14:paraId="6257E594" w14:textId="78B355B2" w:rsidR="000B0C11" w:rsidRDefault="000B0C11" w:rsidP="00254193">
            <w:pPr>
              <w:pStyle w:val="BodyText"/>
              <w:rPr>
                <w:noProof/>
              </w:rPr>
            </w:pPr>
            <w:r>
              <w:rPr>
                <w:noProof/>
              </w:rPr>
              <w:drawing>
                <wp:inline distT="0" distB="0" distL="0" distR="0" wp14:anchorId="0A6462C2" wp14:editId="6FDCA458">
                  <wp:extent cx="1433543" cy="849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3543" cy="849092"/>
                          </a:xfrm>
                          <a:prstGeom prst="rect">
                            <a:avLst/>
                          </a:prstGeom>
                          <a:noFill/>
                          <a:ln>
                            <a:noFill/>
                          </a:ln>
                        </pic:spPr>
                      </pic:pic>
                    </a:graphicData>
                  </a:graphic>
                </wp:inline>
              </w:drawing>
            </w:r>
          </w:p>
        </w:tc>
      </w:tr>
      <w:tr w:rsidR="00EB4214" w:rsidRPr="00951D90" w14:paraId="7B0E01FC" w14:textId="77777777" w:rsidTr="00641730">
        <w:tc>
          <w:tcPr>
            <w:tcW w:w="5387" w:type="dxa"/>
          </w:tcPr>
          <w:p w14:paraId="39801094" w14:textId="5BA60F65" w:rsidR="00EB4214" w:rsidRDefault="00EB4214" w:rsidP="000B3894">
            <w:pPr>
              <w:pStyle w:val="BodyText"/>
              <w:numPr>
                <w:ilvl w:val="0"/>
                <w:numId w:val="19"/>
              </w:numPr>
              <w:spacing w:before="60" w:after="60"/>
              <w:rPr>
                <w:lang w:val="en-GB"/>
              </w:rPr>
            </w:pPr>
            <w:r>
              <w:rPr>
                <w:lang w:val="en-GB"/>
              </w:rPr>
              <w:t xml:space="preserve">Click into the </w:t>
            </w:r>
            <w:r>
              <w:rPr>
                <w:noProof/>
              </w:rPr>
              <w:drawing>
                <wp:inline distT="0" distB="0" distL="0" distR="0" wp14:anchorId="16BFB44A" wp14:editId="7F95CAD1">
                  <wp:extent cx="381860" cy="3632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860" cy="363216"/>
                          </a:xfrm>
                          <a:prstGeom prst="rect">
                            <a:avLst/>
                          </a:prstGeom>
                          <a:noFill/>
                          <a:ln>
                            <a:noFill/>
                          </a:ln>
                        </pic:spPr>
                      </pic:pic>
                    </a:graphicData>
                  </a:graphic>
                </wp:inline>
              </w:drawing>
            </w:r>
            <w:r>
              <w:rPr>
                <w:lang w:val="en-GB"/>
              </w:rPr>
              <w:t>area. Highlight that:</w:t>
            </w:r>
          </w:p>
          <w:p w14:paraId="0108CF97" w14:textId="77777777" w:rsidR="00EB4214" w:rsidRDefault="00EB4214" w:rsidP="00EB4214">
            <w:pPr>
              <w:pStyle w:val="BodyText"/>
              <w:numPr>
                <w:ilvl w:val="1"/>
                <w:numId w:val="19"/>
              </w:numPr>
              <w:spacing w:before="60" w:after="60"/>
              <w:rPr>
                <w:lang w:val="en-GB"/>
              </w:rPr>
            </w:pPr>
            <w:r>
              <w:rPr>
                <w:lang w:val="en-GB"/>
              </w:rPr>
              <w:t>A number of standard reports, completeness reports, data approval functions, and custom reports are available in this area.</w:t>
            </w:r>
          </w:p>
          <w:p w14:paraId="792A0245" w14:textId="77777777" w:rsidR="00EB4214" w:rsidRDefault="00EB4214" w:rsidP="00EB4214">
            <w:pPr>
              <w:pStyle w:val="BodyText"/>
              <w:numPr>
                <w:ilvl w:val="1"/>
                <w:numId w:val="19"/>
              </w:numPr>
              <w:spacing w:before="60" w:after="60"/>
              <w:rPr>
                <w:lang w:val="en-GB"/>
              </w:rPr>
            </w:pPr>
            <w:r>
              <w:rPr>
                <w:lang w:val="en-GB"/>
              </w:rPr>
              <w:t>Some of these may or may not be available to all users (e.g. Data Approval is likely to be with someone at a higher level than Data Entry).</w:t>
            </w:r>
          </w:p>
          <w:p w14:paraId="0C02F564" w14:textId="0CA97920" w:rsidR="00EB4214" w:rsidRDefault="00EB4214" w:rsidP="00EB4214">
            <w:pPr>
              <w:pStyle w:val="BodyText"/>
              <w:numPr>
                <w:ilvl w:val="1"/>
                <w:numId w:val="19"/>
              </w:numPr>
              <w:spacing w:before="60" w:after="60"/>
              <w:rPr>
                <w:lang w:val="en-GB"/>
              </w:rPr>
            </w:pPr>
            <w:r>
              <w:rPr>
                <w:lang w:val="en-GB"/>
              </w:rPr>
              <w:t>That the use of the reporting area will be covered in a later session.</w:t>
            </w:r>
          </w:p>
        </w:tc>
        <w:tc>
          <w:tcPr>
            <w:tcW w:w="3544" w:type="dxa"/>
          </w:tcPr>
          <w:p w14:paraId="688CC27C" w14:textId="43F56DBF" w:rsidR="00EB4214" w:rsidRDefault="00EB4214" w:rsidP="00254193">
            <w:pPr>
              <w:pStyle w:val="BodyText"/>
              <w:rPr>
                <w:noProof/>
              </w:rPr>
            </w:pPr>
            <w:r>
              <w:rPr>
                <w:noProof/>
              </w:rPr>
              <w:drawing>
                <wp:inline distT="0" distB="0" distL="0" distR="0" wp14:anchorId="6FEAE3E6" wp14:editId="186DB640">
                  <wp:extent cx="2106295" cy="13747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6295" cy="1374775"/>
                          </a:xfrm>
                          <a:prstGeom prst="rect">
                            <a:avLst/>
                          </a:prstGeom>
                          <a:noFill/>
                          <a:ln>
                            <a:noFill/>
                          </a:ln>
                        </pic:spPr>
                      </pic:pic>
                    </a:graphicData>
                  </a:graphic>
                </wp:inline>
              </w:drawing>
            </w:r>
          </w:p>
        </w:tc>
      </w:tr>
      <w:tr w:rsidR="00EB4214" w:rsidRPr="00951D90" w14:paraId="79BDA7CB" w14:textId="77777777" w:rsidTr="00641730">
        <w:tc>
          <w:tcPr>
            <w:tcW w:w="5387" w:type="dxa"/>
          </w:tcPr>
          <w:p w14:paraId="5EDA399D" w14:textId="01781133" w:rsidR="00EB4214" w:rsidRDefault="000B0C11" w:rsidP="00082440">
            <w:pPr>
              <w:pStyle w:val="BodyText"/>
              <w:numPr>
                <w:ilvl w:val="0"/>
                <w:numId w:val="19"/>
              </w:numPr>
              <w:spacing w:before="60" w:after="60"/>
              <w:rPr>
                <w:lang w:val="en-GB"/>
              </w:rPr>
            </w:pPr>
            <w:r>
              <w:rPr>
                <w:lang w:val="en-GB"/>
              </w:rPr>
              <w:t xml:space="preserve">At this point, it is time to give users the opportunity to become familiar themselves with navigating to the key areas of DHIS2. Have </w:t>
            </w:r>
            <w:r w:rsidR="00082440">
              <w:rPr>
                <w:lang w:val="en-GB"/>
              </w:rPr>
              <w:t>participants</w:t>
            </w:r>
            <w:r>
              <w:rPr>
                <w:lang w:val="en-GB"/>
              </w:rPr>
              <w:t xml:space="preserve"> download </w:t>
            </w:r>
            <w:r w:rsidR="00082440">
              <w:rPr>
                <w:lang w:val="en-GB"/>
              </w:rPr>
              <w:t>and work through Exercises 2.1, 2.2 and 2.3.</w:t>
            </w:r>
          </w:p>
        </w:tc>
        <w:tc>
          <w:tcPr>
            <w:tcW w:w="3544" w:type="dxa"/>
          </w:tcPr>
          <w:p w14:paraId="74E113B3" w14:textId="77777777" w:rsidR="00EB4214" w:rsidRDefault="00EB4214" w:rsidP="00254193">
            <w:pPr>
              <w:pStyle w:val="BodyText"/>
              <w:rPr>
                <w:noProof/>
              </w:rPr>
            </w:pPr>
          </w:p>
        </w:tc>
      </w:tr>
    </w:tbl>
    <w:p w14:paraId="5201D256" w14:textId="719F60B0" w:rsidR="00200DAA" w:rsidRPr="00951D90" w:rsidRDefault="00164D7C" w:rsidP="00200DAA">
      <w:pPr>
        <w:pStyle w:val="Heading1"/>
        <w:rPr>
          <w:lang w:val="en-GB"/>
        </w:rPr>
      </w:pPr>
      <w:r>
        <w:rPr>
          <w:lang w:val="en-GB"/>
        </w:rPr>
        <w:t>Exercises</w:t>
      </w:r>
      <w:r w:rsidR="00200DAA" w:rsidRPr="00951D90">
        <w:rPr>
          <w:lang w:val="en-GB"/>
        </w:rPr>
        <w:t xml:space="preserve"> </w:t>
      </w:r>
    </w:p>
    <w:p w14:paraId="2AEF1492" w14:textId="35904B6E" w:rsidR="00200DAA" w:rsidRPr="00951D90" w:rsidRDefault="00164D7C" w:rsidP="00200DAA">
      <w:pPr>
        <w:pStyle w:val="Heading2"/>
        <w:rPr>
          <w:lang w:val="en-GB"/>
        </w:rPr>
      </w:pPr>
      <w:r>
        <w:rPr>
          <w:lang w:val="en-GB"/>
        </w:rPr>
        <w:t>Exercise</w:t>
      </w:r>
      <w:r w:rsidR="00200DAA" w:rsidRPr="00951D90">
        <w:rPr>
          <w:lang w:val="en-GB"/>
        </w:rPr>
        <w:t xml:space="preserve"> </w:t>
      </w:r>
      <w:r w:rsidR="00082440">
        <w:rPr>
          <w:lang w:val="en-GB"/>
        </w:rPr>
        <w:t>2.1</w:t>
      </w:r>
      <w:r w:rsidR="00200DAA" w:rsidRPr="00951D90">
        <w:rPr>
          <w:lang w:val="en-GB"/>
        </w:rPr>
        <w:t xml:space="preserve"> </w:t>
      </w:r>
      <w:r w:rsidR="00082440">
        <w:rPr>
          <w:lang w:val="en-GB"/>
        </w:rPr>
        <w:t>–</w:t>
      </w:r>
      <w:r w:rsidR="00200DAA" w:rsidRPr="00951D90">
        <w:rPr>
          <w:lang w:val="en-GB"/>
        </w:rPr>
        <w:t xml:space="preserve"> </w:t>
      </w:r>
      <w:r w:rsidR="00082440">
        <w:rPr>
          <w:lang w:val="en-GB"/>
        </w:rPr>
        <w:t>Data Entry and the Facility Tree</w:t>
      </w:r>
    </w:p>
    <w:p w14:paraId="29CCDFCE" w14:textId="56DCD444" w:rsidR="003B305C" w:rsidRPr="003B305C" w:rsidRDefault="003B305C" w:rsidP="00200DAA">
      <w:pPr>
        <w:pStyle w:val="BodyText"/>
        <w:spacing w:before="60" w:after="60"/>
        <w:rPr>
          <w:b/>
          <w:lang w:val="en-GB"/>
        </w:rPr>
      </w:pPr>
      <w:r w:rsidRPr="003B305C">
        <w:rPr>
          <w:b/>
          <w:lang w:val="en-GB"/>
        </w:rPr>
        <w:t xml:space="preserve">The goal of </w:t>
      </w:r>
      <w:r>
        <w:rPr>
          <w:b/>
          <w:lang w:val="en-GB"/>
        </w:rPr>
        <w:t>this</w:t>
      </w:r>
      <w:r w:rsidRPr="003B305C">
        <w:rPr>
          <w:b/>
          <w:lang w:val="en-GB"/>
        </w:rPr>
        <w:t xml:space="preserve"> exercise is for each user to login to the system</w:t>
      </w:r>
      <w:r>
        <w:rPr>
          <w:b/>
          <w:lang w:val="en-GB"/>
        </w:rPr>
        <w:t xml:space="preserve"> </w:t>
      </w:r>
      <w:r w:rsidR="00082440">
        <w:rPr>
          <w:b/>
          <w:lang w:val="en-GB"/>
        </w:rPr>
        <w:t>as a Data Entry user, and become familiar with the Facility Tree</w:t>
      </w:r>
      <w:r w:rsidRPr="003B305C">
        <w:rPr>
          <w:b/>
          <w:lang w:val="en-GB"/>
        </w:rPr>
        <w:t>.</w:t>
      </w:r>
    </w:p>
    <w:p w14:paraId="3305FA9B" w14:textId="56D2D33E" w:rsidR="00200DAA" w:rsidRPr="00EF60BB" w:rsidRDefault="00EF60BB" w:rsidP="00200DAA">
      <w:pPr>
        <w:pStyle w:val="BodyText"/>
        <w:spacing w:before="60" w:after="60"/>
        <w:rPr>
          <w:i/>
          <w:lang w:val="en-GB"/>
        </w:rPr>
      </w:pPr>
      <w:r>
        <w:rPr>
          <w:i/>
          <w:lang w:val="en-GB"/>
        </w:rPr>
        <w:t>Note: that t</w:t>
      </w:r>
      <w:r w:rsidRPr="00EF60BB">
        <w:rPr>
          <w:i/>
          <w:lang w:val="en-GB"/>
        </w:rPr>
        <w:t>he first account is a data entry user type, and each account will have a different</w:t>
      </w:r>
      <w:r w:rsidR="00745642">
        <w:rPr>
          <w:i/>
          <w:lang w:val="en-GB"/>
        </w:rPr>
        <w:t xml:space="preserve"> Locality across various States</w:t>
      </w:r>
      <w:r w:rsidRPr="00EF60BB">
        <w:rPr>
          <w:i/>
          <w:lang w:val="en-GB"/>
        </w:rPr>
        <w:t>. These accounts will be able to enter facility level data for the health centres and hospitals in their locality.</w:t>
      </w:r>
    </w:p>
    <w:p w14:paraId="076BE51A" w14:textId="48106314" w:rsidR="00200DAA" w:rsidRPr="00951D90" w:rsidRDefault="00164D7C" w:rsidP="00200DAA">
      <w:pPr>
        <w:pStyle w:val="Heading2"/>
        <w:rPr>
          <w:lang w:val="en-GB"/>
        </w:rPr>
      </w:pPr>
      <w:r>
        <w:rPr>
          <w:lang w:val="en-GB"/>
        </w:rPr>
        <w:t xml:space="preserve">Exercise </w:t>
      </w:r>
      <w:r w:rsidR="00082440">
        <w:rPr>
          <w:lang w:val="en-GB"/>
        </w:rPr>
        <w:t>2.2</w:t>
      </w:r>
      <w:r w:rsidR="00200DAA" w:rsidRPr="00951D90">
        <w:rPr>
          <w:lang w:val="en-GB"/>
        </w:rPr>
        <w:t xml:space="preserve"> </w:t>
      </w:r>
      <w:r>
        <w:rPr>
          <w:lang w:val="en-GB"/>
        </w:rPr>
        <w:t>–</w:t>
      </w:r>
      <w:r w:rsidR="00200DAA" w:rsidRPr="00951D90">
        <w:rPr>
          <w:lang w:val="en-GB"/>
        </w:rPr>
        <w:t xml:space="preserve"> </w:t>
      </w:r>
      <w:r w:rsidR="00082440">
        <w:rPr>
          <w:lang w:val="en-GB"/>
        </w:rPr>
        <w:t>Data Analysis</w:t>
      </w:r>
    </w:p>
    <w:p w14:paraId="147C3E5B" w14:textId="564550C3" w:rsidR="003B305C" w:rsidRPr="003B305C" w:rsidRDefault="003B305C" w:rsidP="00164D7C">
      <w:pPr>
        <w:pStyle w:val="BodyText"/>
        <w:spacing w:before="60" w:after="60"/>
        <w:rPr>
          <w:b/>
          <w:lang w:val="en-GB"/>
        </w:rPr>
      </w:pPr>
      <w:r w:rsidRPr="003B305C">
        <w:rPr>
          <w:b/>
          <w:lang w:val="en-GB"/>
        </w:rPr>
        <w:t xml:space="preserve">The goal of this exercise is for users to successfully </w:t>
      </w:r>
      <w:r w:rsidR="00082440">
        <w:rPr>
          <w:b/>
          <w:lang w:val="en-GB"/>
        </w:rPr>
        <w:t>navigate to, and switch between the different data analysis views (charts, tables and maps).</w:t>
      </w:r>
    </w:p>
    <w:p w14:paraId="23F8B68F" w14:textId="20CB8FDC" w:rsidR="00200DAA" w:rsidRPr="003B305C" w:rsidRDefault="003B305C" w:rsidP="003B305C">
      <w:pPr>
        <w:pStyle w:val="BodyText"/>
        <w:spacing w:before="60" w:after="60"/>
        <w:rPr>
          <w:i/>
          <w:lang w:val="en-GB"/>
        </w:rPr>
      </w:pPr>
      <w:r w:rsidRPr="003B305C">
        <w:rPr>
          <w:i/>
          <w:lang w:val="en-GB"/>
        </w:rPr>
        <w:t xml:space="preserve">Note: </w:t>
      </w:r>
      <w:r w:rsidR="00082440">
        <w:rPr>
          <w:i/>
          <w:lang w:val="en-GB"/>
        </w:rPr>
        <w:t>the exercise asks users as the last step to login as Program Manager user so they can see the different level of analysis access they have (i.e. State level rather than Locality level)</w:t>
      </w:r>
      <w:r w:rsidRPr="003B305C">
        <w:rPr>
          <w:i/>
          <w:lang w:val="en-GB"/>
        </w:rPr>
        <w:t>.</w:t>
      </w:r>
    </w:p>
    <w:p w14:paraId="2EF6DFCC" w14:textId="2AF0FB98" w:rsidR="00200DAA" w:rsidRPr="00951D90" w:rsidRDefault="00164D7C" w:rsidP="00082440">
      <w:pPr>
        <w:pStyle w:val="Heading2"/>
        <w:rPr>
          <w:lang w:val="en-GB"/>
        </w:rPr>
      </w:pPr>
      <w:r>
        <w:rPr>
          <w:lang w:val="en-GB"/>
        </w:rPr>
        <w:t>Exercise</w:t>
      </w:r>
      <w:r w:rsidR="00200DAA" w:rsidRPr="00951D90">
        <w:rPr>
          <w:lang w:val="en-GB"/>
        </w:rPr>
        <w:t xml:space="preserve"> </w:t>
      </w:r>
      <w:r w:rsidR="00082440">
        <w:rPr>
          <w:lang w:val="en-GB"/>
        </w:rPr>
        <w:t>2.3</w:t>
      </w:r>
      <w:r w:rsidR="00200DAA" w:rsidRPr="00951D90">
        <w:rPr>
          <w:lang w:val="en-GB"/>
        </w:rPr>
        <w:t xml:space="preserve"> </w:t>
      </w:r>
      <w:r>
        <w:rPr>
          <w:lang w:val="en-GB"/>
        </w:rPr>
        <w:t>–</w:t>
      </w:r>
      <w:r w:rsidR="00200DAA" w:rsidRPr="00951D90">
        <w:rPr>
          <w:lang w:val="en-GB"/>
        </w:rPr>
        <w:t xml:space="preserve"> </w:t>
      </w:r>
      <w:r w:rsidR="00082440">
        <w:rPr>
          <w:lang w:val="en-GB"/>
        </w:rPr>
        <w:t>Reporting</w:t>
      </w:r>
    </w:p>
    <w:p w14:paraId="4FF45399" w14:textId="2650C249" w:rsidR="00200DAA" w:rsidRPr="00951D90" w:rsidRDefault="00BD039E" w:rsidP="00200DAA">
      <w:pPr>
        <w:pStyle w:val="BodyText"/>
        <w:spacing w:before="60" w:after="60"/>
        <w:rPr>
          <w:lang w:val="en-GB"/>
        </w:rPr>
      </w:pPr>
      <w:r w:rsidRPr="003B305C">
        <w:rPr>
          <w:b/>
          <w:lang w:val="en-GB"/>
        </w:rPr>
        <w:t xml:space="preserve">The goal of this exercise is for users to successfully </w:t>
      </w:r>
      <w:r w:rsidR="00082440">
        <w:rPr>
          <w:b/>
          <w:lang w:val="en-GB"/>
        </w:rPr>
        <w:t>navigate to the Reporting Area</w:t>
      </w:r>
      <w:r>
        <w:rPr>
          <w:b/>
          <w:lang w:val="en-GB"/>
        </w:rPr>
        <w:t>.</w:t>
      </w:r>
    </w:p>
    <w:p w14:paraId="6B380127" w14:textId="304928C5" w:rsidR="00200DAA" w:rsidRPr="00951D90" w:rsidRDefault="00BD039E" w:rsidP="00200DAA">
      <w:pPr>
        <w:pStyle w:val="BodyText"/>
        <w:spacing w:before="60" w:after="60"/>
        <w:rPr>
          <w:lang w:val="en-GB"/>
        </w:rPr>
      </w:pPr>
      <w:r>
        <w:rPr>
          <w:lang w:val="en-GB"/>
        </w:rPr>
        <w:t>Note:</w:t>
      </w:r>
      <w:r w:rsidR="00082440">
        <w:rPr>
          <w:lang w:val="en-GB"/>
        </w:rPr>
        <w:t xml:space="preserve"> Some users may click into some of the reporting interfaces … that is OK, however at this time, try not to get into any details of the what the reports are, as they will be covered later</w:t>
      </w:r>
      <w:r>
        <w:rPr>
          <w:lang w:val="en-GB"/>
        </w:rPr>
        <w:t>.</w:t>
      </w:r>
    </w:p>
    <w:sectPr w:rsidR="00200DAA" w:rsidRPr="00951D90" w:rsidSect="000059CF">
      <w:headerReference w:type="even" r:id="rId25"/>
      <w:headerReference w:type="default" r:id="rId26"/>
      <w:footerReference w:type="even" r:id="rId27"/>
      <w:footerReference w:type="default" r:id="rId28"/>
      <w:headerReference w:type="first" r:id="rId29"/>
      <w:footerReference w:type="first" r:id="rId30"/>
      <w:type w:val="oddPage"/>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F958D3" w14:textId="77777777" w:rsidR="000B0C11" w:rsidRDefault="000B0C11" w:rsidP="009F3137">
      <w:r>
        <w:separator/>
      </w:r>
    </w:p>
  </w:endnote>
  <w:endnote w:type="continuationSeparator" w:id="0">
    <w:p w14:paraId="56BF3E07" w14:textId="77777777" w:rsidR="000B0C11" w:rsidRDefault="000B0C11"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0B0C11" w14:paraId="1918320C" w14:textId="77777777" w:rsidTr="00842203">
      <w:trPr>
        <w:trHeight w:val="151"/>
      </w:trPr>
      <w:tc>
        <w:tcPr>
          <w:tcW w:w="2250" w:type="pct"/>
          <w:tcBorders>
            <w:top w:val="nil"/>
            <w:left w:val="nil"/>
            <w:bottom w:val="single" w:sz="4" w:space="0" w:color="4F81BD" w:themeColor="accent1"/>
            <w:right w:val="nil"/>
          </w:tcBorders>
        </w:tcPr>
        <w:p w14:paraId="097EAE40" w14:textId="77777777" w:rsidR="000B0C11" w:rsidRDefault="000B0C11"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5BEF8AEA" w14:textId="77777777" w:rsidR="000B0C11" w:rsidRDefault="000B0C11"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0FB11FA8" w14:textId="77777777" w:rsidR="000B0C11" w:rsidRDefault="000B0C11" w:rsidP="00842203">
          <w:pPr>
            <w:pStyle w:val="Header"/>
            <w:spacing w:line="276" w:lineRule="auto"/>
            <w:rPr>
              <w:rFonts w:asciiTheme="majorHAnsi" w:eastAsiaTheme="majorEastAsia" w:hAnsiTheme="majorHAnsi" w:cstheme="majorBidi"/>
              <w:b/>
              <w:bCs/>
              <w:color w:val="4F81BD" w:themeColor="accent1"/>
            </w:rPr>
          </w:pPr>
        </w:p>
      </w:tc>
    </w:tr>
    <w:tr w:rsidR="000B0C11" w14:paraId="3A75CF91" w14:textId="77777777" w:rsidTr="00842203">
      <w:trPr>
        <w:trHeight w:val="150"/>
      </w:trPr>
      <w:tc>
        <w:tcPr>
          <w:tcW w:w="2250" w:type="pct"/>
          <w:tcBorders>
            <w:top w:val="single" w:sz="4" w:space="0" w:color="4F81BD" w:themeColor="accent1"/>
            <w:left w:val="nil"/>
            <w:bottom w:val="nil"/>
            <w:right w:val="nil"/>
          </w:tcBorders>
        </w:tcPr>
        <w:p w14:paraId="5044AACF" w14:textId="77777777" w:rsidR="000B0C11" w:rsidRDefault="000B0C11"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559A6BB" w14:textId="77777777" w:rsidR="000B0C11" w:rsidRDefault="000B0C11"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B5E447B" w14:textId="77777777" w:rsidR="000B0C11" w:rsidRDefault="000B0C11" w:rsidP="00842203">
          <w:pPr>
            <w:pStyle w:val="Header"/>
            <w:spacing w:line="276" w:lineRule="auto"/>
            <w:rPr>
              <w:rFonts w:asciiTheme="majorHAnsi" w:eastAsiaTheme="majorEastAsia" w:hAnsiTheme="majorHAnsi" w:cstheme="majorBidi"/>
              <w:b/>
              <w:bCs/>
              <w:color w:val="4F81BD" w:themeColor="accent1"/>
            </w:rPr>
          </w:pPr>
        </w:p>
      </w:tc>
    </w:tr>
  </w:tbl>
  <w:p w14:paraId="54A8BFF2" w14:textId="77777777" w:rsidR="000B0C11" w:rsidRDefault="000B0C11">
    <w:pPr>
      <w:pStyle w:val="Footer"/>
    </w:pPr>
  </w:p>
  <w:p w14:paraId="68D891AF" w14:textId="77777777" w:rsidR="000B0C11" w:rsidRDefault="000B0C1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0B0C11" w14:paraId="0C4B87E6" w14:textId="77777777" w:rsidTr="00164D7C">
      <w:trPr>
        <w:trHeight w:val="151"/>
      </w:trPr>
      <w:tc>
        <w:tcPr>
          <w:tcW w:w="1667" w:type="pct"/>
          <w:tcBorders>
            <w:top w:val="nil"/>
            <w:left w:val="nil"/>
            <w:bottom w:val="single" w:sz="4" w:space="0" w:color="4F81BD" w:themeColor="accent1"/>
            <w:right w:val="nil"/>
          </w:tcBorders>
        </w:tcPr>
        <w:p w14:paraId="40CF2F8E"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67603420" w14:textId="77777777" w:rsidR="000B0C11" w:rsidRDefault="000B0C11"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62205A">
            <w:rPr>
              <w:rStyle w:val="PageNumber"/>
              <w:rFonts w:asciiTheme="minorHAnsi" w:hAnsiTheme="minorHAnsi"/>
              <w:noProof/>
              <w:sz w:val="24"/>
              <w:szCs w:val="24"/>
            </w:rPr>
            <w:t>5</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0BC8BC9"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r>
    <w:tr w:rsidR="000B0C11" w14:paraId="1E6B067A" w14:textId="77777777" w:rsidTr="00164D7C">
      <w:trPr>
        <w:trHeight w:val="150"/>
      </w:trPr>
      <w:tc>
        <w:tcPr>
          <w:tcW w:w="1667" w:type="pct"/>
          <w:tcBorders>
            <w:top w:val="single" w:sz="4" w:space="0" w:color="4F81BD" w:themeColor="accent1"/>
            <w:left w:val="nil"/>
            <w:bottom w:val="nil"/>
            <w:right w:val="nil"/>
          </w:tcBorders>
        </w:tcPr>
        <w:p w14:paraId="48A928FE"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1C967915" w14:textId="77777777" w:rsidR="000B0C11" w:rsidRDefault="000B0C11"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3AFE82E"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r>
  </w:tbl>
  <w:p w14:paraId="6493E062" w14:textId="77777777" w:rsidR="000B0C11" w:rsidRDefault="000B0C11" w:rsidP="00164D7C">
    <w:pPr>
      <w:pStyle w:val="Footer"/>
      <w:ind w:left="-1701"/>
    </w:pPr>
  </w:p>
  <w:p w14:paraId="1813FBF3" w14:textId="77777777" w:rsidR="000B0C11" w:rsidRDefault="000B0C1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0B0C11" w14:paraId="211FB248" w14:textId="77777777" w:rsidTr="00164D7C">
      <w:trPr>
        <w:trHeight w:val="151"/>
      </w:trPr>
      <w:tc>
        <w:tcPr>
          <w:tcW w:w="1667" w:type="pct"/>
          <w:tcBorders>
            <w:top w:val="nil"/>
            <w:left w:val="nil"/>
            <w:bottom w:val="single" w:sz="4" w:space="0" w:color="4F81BD" w:themeColor="accent1"/>
            <w:right w:val="nil"/>
          </w:tcBorders>
        </w:tcPr>
        <w:p w14:paraId="482B0A6E"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363C0AAF" w14:textId="77777777" w:rsidR="000B0C11" w:rsidRDefault="000B0C11"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62205A">
            <w:rPr>
              <w:rStyle w:val="PageNumber"/>
              <w:rFonts w:asciiTheme="minorHAnsi" w:hAnsiTheme="minorHAnsi"/>
              <w:noProof/>
              <w:sz w:val="24"/>
              <w:szCs w:val="24"/>
            </w:rPr>
            <w:t>1</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3872A48E"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r>
    <w:tr w:rsidR="000B0C11" w14:paraId="72F2F22F" w14:textId="77777777" w:rsidTr="00164D7C">
      <w:trPr>
        <w:trHeight w:val="150"/>
      </w:trPr>
      <w:tc>
        <w:tcPr>
          <w:tcW w:w="1667" w:type="pct"/>
          <w:tcBorders>
            <w:top w:val="single" w:sz="4" w:space="0" w:color="4F81BD" w:themeColor="accent1"/>
            <w:left w:val="nil"/>
            <w:bottom w:val="nil"/>
            <w:right w:val="nil"/>
          </w:tcBorders>
        </w:tcPr>
        <w:p w14:paraId="58072DB3"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2671190D" w14:textId="77777777" w:rsidR="000B0C11" w:rsidRDefault="000B0C11"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BDAC636" w14:textId="77777777" w:rsidR="000B0C11" w:rsidRDefault="000B0C11" w:rsidP="00164D7C">
          <w:pPr>
            <w:pStyle w:val="Header"/>
            <w:spacing w:line="276" w:lineRule="auto"/>
            <w:rPr>
              <w:rFonts w:asciiTheme="majorHAnsi" w:eastAsiaTheme="majorEastAsia" w:hAnsiTheme="majorHAnsi" w:cstheme="majorBidi"/>
              <w:b/>
              <w:bCs/>
              <w:color w:val="4F81BD" w:themeColor="accent1"/>
            </w:rPr>
          </w:pPr>
        </w:p>
      </w:tc>
    </w:tr>
  </w:tbl>
  <w:p w14:paraId="6D41FCD8" w14:textId="77777777" w:rsidR="000B0C11" w:rsidRDefault="000B0C11" w:rsidP="00164D7C">
    <w:pPr>
      <w:pStyle w:val="Footer"/>
      <w:ind w:left="-1701"/>
    </w:pPr>
  </w:p>
  <w:p w14:paraId="178DC968" w14:textId="77777777" w:rsidR="000B0C11" w:rsidRDefault="000B0C1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353A1" w14:textId="77777777" w:rsidR="000B0C11" w:rsidRDefault="000B0C11" w:rsidP="009F3137">
      <w:r>
        <w:separator/>
      </w:r>
    </w:p>
  </w:footnote>
  <w:footnote w:type="continuationSeparator" w:id="0">
    <w:p w14:paraId="6E33BE38" w14:textId="77777777" w:rsidR="000B0C11" w:rsidRDefault="000B0C11" w:rsidP="009F31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9D215" w14:textId="77777777" w:rsidR="000B0C11" w:rsidRDefault="000B0C11">
    <w:pPr>
      <w:pStyle w:val="Header"/>
    </w:pPr>
    <w:r>
      <w:t>The Unplugged Edge</w:t>
    </w:r>
  </w:p>
  <w:p w14:paraId="37FD274E" w14:textId="77777777" w:rsidR="000B0C11" w:rsidRDefault="000B0C1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A00BF" w14:textId="572B6F56" w:rsidR="000B0C11" w:rsidRDefault="000B0C11" w:rsidP="000C3232">
    <w:pPr>
      <w:pStyle w:val="Header"/>
      <w:ind w:left="-1701"/>
    </w:pPr>
    <w:r>
      <w:t>SUDAN DHIS2 Trainers guide: logging into DHIS2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E6E97" w14:textId="52BD71BD" w:rsidR="000B0C11" w:rsidRPr="00D1322C" w:rsidRDefault="000B0C11" w:rsidP="00F3022C">
    <w:pPr>
      <w:pStyle w:val="ChapterLabel"/>
      <w:framePr w:w="1675" w:h="1689" w:hRule="exact" w:wrap="notBeside" w:hAnchor="page" w:x="8766" w:y="898"/>
    </w:pPr>
    <w:r>
      <w:t>2</w:t>
    </w:r>
  </w:p>
  <w:p w14:paraId="3FB574E4" w14:textId="0A41922F" w:rsidR="000B0C11" w:rsidRDefault="000B0C11" w:rsidP="00200DAA">
    <w:pPr>
      <w:pStyle w:val="Header"/>
      <w:ind w:left="-1701"/>
    </w:pPr>
    <w:r>
      <w:t>SUDAN DHIS2 Trainers guide: Getting to know DHIS2</w:t>
    </w:r>
  </w:p>
  <w:p w14:paraId="2F522718" w14:textId="77777777" w:rsidR="000B0C11" w:rsidRDefault="000B0C1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2E619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69E7EF4"/>
    <w:lvl w:ilvl="0">
      <w:start w:val="1"/>
      <w:numFmt w:val="decimal"/>
      <w:lvlText w:val="%1."/>
      <w:lvlJc w:val="left"/>
      <w:pPr>
        <w:tabs>
          <w:tab w:val="num" w:pos="1492"/>
        </w:tabs>
        <w:ind w:left="1492" w:hanging="360"/>
      </w:pPr>
    </w:lvl>
  </w:abstractNum>
  <w:abstractNum w:abstractNumId="2">
    <w:nsid w:val="FFFFFF7D"/>
    <w:multiLevelType w:val="singleLevel"/>
    <w:tmpl w:val="FAE02CBC"/>
    <w:lvl w:ilvl="0">
      <w:start w:val="1"/>
      <w:numFmt w:val="decimal"/>
      <w:lvlText w:val="%1."/>
      <w:lvlJc w:val="left"/>
      <w:pPr>
        <w:tabs>
          <w:tab w:val="num" w:pos="1209"/>
        </w:tabs>
        <w:ind w:left="1209" w:hanging="360"/>
      </w:pPr>
    </w:lvl>
  </w:abstractNum>
  <w:abstractNum w:abstractNumId="3">
    <w:nsid w:val="FFFFFF7E"/>
    <w:multiLevelType w:val="singleLevel"/>
    <w:tmpl w:val="93A6F0CC"/>
    <w:lvl w:ilvl="0">
      <w:start w:val="1"/>
      <w:numFmt w:val="decimal"/>
      <w:lvlText w:val="%1."/>
      <w:lvlJc w:val="left"/>
      <w:pPr>
        <w:tabs>
          <w:tab w:val="num" w:pos="926"/>
        </w:tabs>
        <w:ind w:left="926" w:hanging="360"/>
      </w:pPr>
    </w:lvl>
  </w:abstractNum>
  <w:abstractNum w:abstractNumId="4">
    <w:nsid w:val="FFFFFF7F"/>
    <w:multiLevelType w:val="singleLevel"/>
    <w:tmpl w:val="A81E266E"/>
    <w:lvl w:ilvl="0">
      <w:start w:val="1"/>
      <w:numFmt w:val="decimal"/>
      <w:lvlText w:val="%1."/>
      <w:lvlJc w:val="left"/>
      <w:pPr>
        <w:tabs>
          <w:tab w:val="num" w:pos="643"/>
        </w:tabs>
        <w:ind w:left="643" w:hanging="360"/>
      </w:pPr>
    </w:lvl>
  </w:abstractNum>
  <w:abstractNum w:abstractNumId="5">
    <w:nsid w:val="FFFFFF80"/>
    <w:multiLevelType w:val="singleLevel"/>
    <w:tmpl w:val="5CCC910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808698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2F0B24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46061D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C03667C4"/>
    <w:lvl w:ilvl="0">
      <w:start w:val="1"/>
      <w:numFmt w:val="decimal"/>
      <w:lvlText w:val="%1."/>
      <w:lvlJc w:val="left"/>
      <w:pPr>
        <w:tabs>
          <w:tab w:val="num" w:pos="360"/>
        </w:tabs>
        <w:ind w:left="360" w:hanging="360"/>
      </w:pPr>
    </w:lvl>
  </w:abstractNum>
  <w:abstractNum w:abstractNumId="10">
    <w:nsid w:val="FFFFFF89"/>
    <w:multiLevelType w:val="singleLevel"/>
    <w:tmpl w:val="A64C5282"/>
    <w:lvl w:ilvl="0">
      <w:start w:val="1"/>
      <w:numFmt w:val="bullet"/>
      <w:lvlText w:val=""/>
      <w:lvlJc w:val="left"/>
      <w:pPr>
        <w:tabs>
          <w:tab w:val="num" w:pos="360"/>
        </w:tabs>
        <w:ind w:left="360" w:hanging="360"/>
      </w:pPr>
      <w:rPr>
        <w:rFonts w:ascii="Symbol" w:hAnsi="Symbol" w:hint="default"/>
      </w:rPr>
    </w:lvl>
  </w:abstractNum>
  <w:abstractNum w:abstractNumId="11">
    <w:nsid w:val="02413931"/>
    <w:multiLevelType w:val="hybridMultilevel"/>
    <w:tmpl w:val="84E6C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CB2D5E"/>
    <w:multiLevelType w:val="hybridMultilevel"/>
    <w:tmpl w:val="3C36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BF22BF"/>
    <w:multiLevelType w:val="hybridMultilevel"/>
    <w:tmpl w:val="8A348F7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54775"/>
    <w:multiLevelType w:val="hybridMultilevel"/>
    <w:tmpl w:val="3E3252BE"/>
    <w:lvl w:ilvl="0" w:tplc="0409000F">
      <w:start w:val="1"/>
      <w:numFmt w:val="decimal"/>
      <w:lvlText w:val="%1."/>
      <w:lvlJc w:val="left"/>
      <w:pPr>
        <w:ind w:left="720" w:hanging="360"/>
      </w:pPr>
      <w:rPr>
        <w:rFonts w:hint="default"/>
        <w:color w:val="800000"/>
        <w:sz w:val="18"/>
        <w:szCs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A20576"/>
    <w:multiLevelType w:val="multilevel"/>
    <w:tmpl w:val="0DAA6F3A"/>
    <w:lvl w:ilvl="0">
      <w:start w:val="1"/>
      <w:numFmt w:val="bullet"/>
      <w:lvlText w:val=""/>
      <w:lvlJc w:val="left"/>
      <w:pPr>
        <w:ind w:left="720" w:hanging="360"/>
      </w:pPr>
      <w:rPr>
        <w:rFonts w:ascii="Wingdings" w:hAnsi="Wingdings" w:hint="default"/>
        <w:color w:val="1F497D" w:themeColor="text2"/>
      </w:rPr>
    </w:lvl>
    <w:lvl w:ilvl="1">
      <w:start w:val="1"/>
      <w:numFmt w:val="bullet"/>
      <w:lvlText w:val="o"/>
      <w:lvlJc w:val="left"/>
      <w:pPr>
        <w:tabs>
          <w:tab w:val="num" w:pos="1440"/>
        </w:tabs>
        <w:ind w:left="1440" w:hanging="360"/>
      </w:pPr>
      <w:rPr>
        <w:rFonts w:ascii="Courier New" w:hAnsi="Courier New" w:cs="MS Mincho"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MS Mincho"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MS Mincho"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85A176D"/>
    <w:multiLevelType w:val="hybridMultilevel"/>
    <w:tmpl w:val="E05E23D2"/>
    <w:lvl w:ilvl="0" w:tplc="C15A0E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020C1B"/>
    <w:multiLevelType w:val="hybridMultilevel"/>
    <w:tmpl w:val="1E66B140"/>
    <w:lvl w:ilvl="0" w:tplc="71CC27C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45D54998"/>
    <w:multiLevelType w:val="hybridMultilevel"/>
    <w:tmpl w:val="19C4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8152E5"/>
    <w:multiLevelType w:val="multilevel"/>
    <w:tmpl w:val="3E3252BE"/>
    <w:lvl w:ilvl="0">
      <w:start w:val="1"/>
      <w:numFmt w:val="decimal"/>
      <w:lvlText w:val="%1."/>
      <w:lvlJc w:val="left"/>
      <w:pPr>
        <w:ind w:left="720" w:hanging="360"/>
      </w:pPr>
      <w:rPr>
        <w:rFonts w:hint="default"/>
        <w:color w:val="800000"/>
        <w:sz w:val="18"/>
        <w:szCs w:val="1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67F74174"/>
    <w:multiLevelType w:val="multilevel"/>
    <w:tmpl w:val="751C22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MS Mincho"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MS Mincho"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MS Mincho"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6C537710"/>
    <w:multiLevelType w:val="hybridMultilevel"/>
    <w:tmpl w:val="3258BB26"/>
    <w:lvl w:ilvl="0" w:tplc="C15A0E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585CD6"/>
    <w:multiLevelType w:val="hybridMultilevel"/>
    <w:tmpl w:val="7462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9E488E"/>
    <w:multiLevelType w:val="hybridMultilevel"/>
    <w:tmpl w:val="42BC7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8"/>
  </w:num>
  <w:num w:numId="13">
    <w:abstractNumId w:val="21"/>
  </w:num>
  <w:num w:numId="14">
    <w:abstractNumId w:val="15"/>
  </w:num>
  <w:num w:numId="15">
    <w:abstractNumId w:val="24"/>
  </w:num>
  <w:num w:numId="16">
    <w:abstractNumId w:val="22"/>
  </w:num>
  <w:num w:numId="17">
    <w:abstractNumId w:val="16"/>
  </w:num>
  <w:num w:numId="18">
    <w:abstractNumId w:val="17"/>
  </w:num>
  <w:num w:numId="19">
    <w:abstractNumId w:val="11"/>
  </w:num>
  <w:num w:numId="20">
    <w:abstractNumId w:val="12"/>
  </w:num>
  <w:num w:numId="21">
    <w:abstractNumId w:val="23"/>
  </w:num>
  <w:num w:numId="22">
    <w:abstractNumId w:val="19"/>
  </w:num>
  <w:num w:numId="23">
    <w:abstractNumId w:val="13"/>
  </w:num>
  <w:num w:numId="24">
    <w:abstractNumId w:val="1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5"/>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35FF"/>
    <w:rsid w:val="000059CF"/>
    <w:rsid w:val="00082440"/>
    <w:rsid w:val="00093ED1"/>
    <w:rsid w:val="000B0C11"/>
    <w:rsid w:val="000B3894"/>
    <w:rsid w:val="000B40C4"/>
    <w:rsid w:val="000C3232"/>
    <w:rsid w:val="00164D7C"/>
    <w:rsid w:val="001C7024"/>
    <w:rsid w:val="00200DAA"/>
    <w:rsid w:val="00227D65"/>
    <w:rsid w:val="00254193"/>
    <w:rsid w:val="0027187B"/>
    <w:rsid w:val="002C6D85"/>
    <w:rsid w:val="003B305C"/>
    <w:rsid w:val="004301E6"/>
    <w:rsid w:val="004548C7"/>
    <w:rsid w:val="00502E89"/>
    <w:rsid w:val="00510BCD"/>
    <w:rsid w:val="005D7D1A"/>
    <w:rsid w:val="00615129"/>
    <w:rsid w:val="0062205A"/>
    <w:rsid w:val="00641730"/>
    <w:rsid w:val="006E640E"/>
    <w:rsid w:val="006E7A1A"/>
    <w:rsid w:val="00707F06"/>
    <w:rsid w:val="0071494F"/>
    <w:rsid w:val="00734073"/>
    <w:rsid w:val="00745642"/>
    <w:rsid w:val="00755B8C"/>
    <w:rsid w:val="00805927"/>
    <w:rsid w:val="008262FE"/>
    <w:rsid w:val="00842203"/>
    <w:rsid w:val="00896A81"/>
    <w:rsid w:val="008C43D9"/>
    <w:rsid w:val="00906114"/>
    <w:rsid w:val="00951D90"/>
    <w:rsid w:val="00974BE1"/>
    <w:rsid w:val="00990F90"/>
    <w:rsid w:val="009F3137"/>
    <w:rsid w:val="00A0713A"/>
    <w:rsid w:val="00A6680F"/>
    <w:rsid w:val="00B1663C"/>
    <w:rsid w:val="00BD039E"/>
    <w:rsid w:val="00BE345B"/>
    <w:rsid w:val="00C04926"/>
    <w:rsid w:val="00C95344"/>
    <w:rsid w:val="00D661A0"/>
    <w:rsid w:val="00D83FA0"/>
    <w:rsid w:val="00DE155D"/>
    <w:rsid w:val="00DE6E30"/>
    <w:rsid w:val="00E36F21"/>
    <w:rsid w:val="00EB0BC4"/>
    <w:rsid w:val="00EB4214"/>
    <w:rsid w:val="00EC1790"/>
    <w:rsid w:val="00EF60BB"/>
    <w:rsid w:val="00F3022C"/>
    <w:rsid w:val="00F94B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B031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D1A"/>
    <w:rPr>
      <w:color w:val="434343"/>
    </w:rPr>
  </w:style>
  <w:style w:type="paragraph" w:styleId="Heading1">
    <w:name w:val="heading 1"/>
    <w:basedOn w:val="Normal"/>
    <w:next w:val="Normal"/>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Normal"/>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caps/>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cs="Times New Roman"/>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2"/>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D1A"/>
    <w:rPr>
      <w:color w:val="434343"/>
    </w:rPr>
  </w:style>
  <w:style w:type="paragraph" w:styleId="Heading1">
    <w:name w:val="heading 1"/>
    <w:basedOn w:val="Normal"/>
    <w:next w:val="Normal"/>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Normal"/>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caps/>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cs="Times New Roman"/>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2"/>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7C75515-5DE7-664D-A9AD-3DE1BB736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eShiftWorkbookStyle01.dotx</Template>
  <TotalTime>1</TotalTime>
  <Pages>5</Pages>
  <Words>1023</Words>
  <Characters>5834</Characters>
  <Application>Microsoft Macintosh Word</Application>
  <DocSecurity>0</DocSecurity>
  <Lines>48</Lines>
  <Paragraphs>13</Paragraphs>
  <ScaleCrop>false</ScaleCrop>
  <Company>SageHagan GmbH</Company>
  <LinksUpToDate>false</LinksUpToDate>
  <CharactersWithSpaces>6844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Hagan</dc:creator>
  <cp:keywords/>
  <dc:description/>
  <cp:lastModifiedBy>David Hagan</cp:lastModifiedBy>
  <cp:revision>2</cp:revision>
  <dcterms:created xsi:type="dcterms:W3CDTF">2015-03-01T09:15:00Z</dcterms:created>
  <dcterms:modified xsi:type="dcterms:W3CDTF">2015-03-01T09:15:00Z</dcterms:modified>
</cp:coreProperties>
</file>