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Análisis Comparado Internacional</w:t>
      </w:r>
    </w:p>
    <w:p w:rsidR="00000000" w:rsidDel="00000000" w:rsidP="00000000" w:rsidRDefault="00000000" w:rsidRPr="00000000" w14:paraId="00000002">
      <w:pPr>
        <w:spacing w:after="160" w:line="360" w:lineRule="auto"/>
        <w:rPr>
          <w:rFonts w:ascii="Times New Roman" w:cs="Times New Roman" w:eastAsia="Times New Roman" w:hAnsi="Times New Roman"/>
          <w:b w:val="1"/>
          <w:color w:val="2a4b7e"/>
        </w:rPr>
      </w:pPr>
      <w:r w:rsidDel="00000000" w:rsidR="00000000" w:rsidRPr="00000000">
        <w:rPr>
          <w:rFonts w:ascii="Times New Roman" w:cs="Times New Roman" w:eastAsia="Times New Roman" w:hAnsi="Times New Roman"/>
          <w:b w:val="1"/>
          <w:color w:val="2a4b7e"/>
          <w:rtl w:val="0"/>
        </w:rPr>
        <w:t xml:space="preserve">3.1 Ejemplos de políticas vigentes</w:t>
      </w:r>
    </w:p>
    <w:p w:rsidR="00000000" w:rsidDel="00000000" w:rsidP="00000000" w:rsidRDefault="00000000" w:rsidRPr="00000000" w14:paraId="00000003">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3.1.1 Serbia: currículo obligatorio de IA</w:t>
      </w:r>
    </w:p>
    <w:p w:rsidR="00000000" w:rsidDel="00000000" w:rsidP="00000000" w:rsidRDefault="00000000" w:rsidRPr="00000000" w14:paraId="00000004">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Serbia ha establecido un marco curricular que integra la inteligencia artificial como contenido obligatorio dentro de su sistema educativo. Esta decisión estratégica posiciona al país como pionero en la región de Europa del Este, al incorporar de forma sistemática el pensamiento computacional, la ética de la IA y sus aplicaciones prácticas en los niveles secundarios.</w:t>
      </w:r>
    </w:p>
    <w:p w:rsidR="00000000" w:rsidDel="00000000" w:rsidP="00000000" w:rsidRDefault="00000000" w:rsidRPr="00000000" w14:paraId="00000005">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La reforma curricular busca preparar a los estudiantes para un entorno digital cambiante, desarrollando capacidades críticas para interactuar con sistemas inteligentes</w:t>
      </w:r>
      <w:r w:rsidDel="00000000" w:rsidR="00000000" w:rsidRPr="00000000">
        <w:rPr>
          <w:rFonts w:ascii="Times New Roman" w:cs="Times New Roman" w:eastAsia="Times New Roman" w:hAnsi="Times New Roman"/>
          <w:b w:val="1"/>
          <w:color w:val="fb0007"/>
          <w:u w:val="single"/>
          <w:rtl w:val="0"/>
        </w:rPr>
        <w:t xml:space="preserve"> (UNESCO, 2019a)</w:t>
      </w:r>
    </w:p>
    <w:p w:rsidR="00000000" w:rsidDel="00000000" w:rsidP="00000000" w:rsidRDefault="00000000" w:rsidRPr="00000000" w14:paraId="00000006">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3.1.2 India: IA como asignatura</w:t>
      </w:r>
    </w:p>
    <w:p w:rsidR="00000000" w:rsidDel="00000000" w:rsidP="00000000" w:rsidRDefault="00000000" w:rsidRPr="00000000" w14:paraId="00000007">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ha dado pasos importantes en la incorporación de la inteligencia artificial como asignatura dentro del nivel secundario, reconociendo su potencial para transformar la economía y la sociedad. El Consejo Central de Educación Secundaria (CBSE) introdujo la IA como materia optativa a partir de noveno grado.</w:t>
      </w:r>
    </w:p>
    <w:p w:rsidR="00000000" w:rsidDel="00000000" w:rsidP="00000000" w:rsidRDefault="00000000" w:rsidRPr="00000000" w14:paraId="00000008">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La medida se fundamenta en el enfoque 'AI for All', promovido como parte de su política nacional de transformación digital</w:t>
      </w:r>
      <w:r w:rsidDel="00000000" w:rsidR="00000000" w:rsidRPr="00000000">
        <w:rPr>
          <w:rFonts w:ascii="Times New Roman" w:cs="Times New Roman" w:eastAsia="Times New Roman" w:hAnsi="Times New Roman"/>
          <w:b w:val="1"/>
          <w:color w:val="fb0007"/>
          <w:u w:val="single"/>
          <w:rtl w:val="0"/>
        </w:rPr>
        <w:t xml:space="preserve"> (UNESCO, 2019a)</w:t>
      </w:r>
    </w:p>
    <w:p w:rsidR="00000000" w:rsidDel="00000000" w:rsidP="00000000" w:rsidRDefault="00000000" w:rsidRPr="00000000" w14:paraId="00000009">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3.1.3 Perú: protección de datos en entornos digitales</w:t>
      </w:r>
    </w:p>
    <w:p w:rsidR="00000000" w:rsidDel="00000000" w:rsidP="00000000" w:rsidRDefault="00000000" w:rsidRPr="00000000" w14:paraId="0000000A">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Perú ha enfocado su estrategia en la protección de datos y la regulación ética del entorno digital educativo. Se han recomendado reformas al marco normativo para salvaguardar los derechos digitales de estudiantes y docentes frente al uso de tecnologías basadas en IA.</w:t>
      </w:r>
    </w:p>
    <w:p w:rsidR="00000000" w:rsidDel="00000000" w:rsidP="00000000" w:rsidRDefault="00000000" w:rsidRPr="00000000" w14:paraId="0000000B">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Estas iniciativas se alinean con las directrices de la UNESCO que llaman a garantizar el desarrollo y uso responsable de la IA, en resguardo de la privacidad y la equidad</w:t>
      </w:r>
      <w:r w:rsidDel="00000000" w:rsidR="00000000" w:rsidRPr="00000000">
        <w:rPr>
          <w:rFonts w:ascii="Times New Roman" w:cs="Times New Roman" w:eastAsia="Times New Roman" w:hAnsi="Times New Roman"/>
          <w:b w:val="1"/>
          <w:color w:val="fb0007"/>
          <w:u w:val="single"/>
          <w:rtl w:val="0"/>
        </w:rPr>
        <w:t xml:space="preserve"> (UNESCO, 2019a)</w:t>
      </w:r>
    </w:p>
    <w:p w:rsidR="00000000" w:rsidDel="00000000" w:rsidP="00000000" w:rsidRDefault="00000000" w:rsidRPr="00000000" w14:paraId="0000000C">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3.1.4 Portugal: política INCoDe.2030</w:t>
      </w:r>
    </w:p>
    <w:p w:rsidR="00000000" w:rsidDel="00000000" w:rsidP="00000000" w:rsidRDefault="00000000" w:rsidRPr="00000000" w14:paraId="0000000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Portugal ha implementado la estrategia INCoDe.2030, una política pública transversal que busca promover competencias digitales desde edades tempranas hasta la educación superior. Esta estrategia no solo considera el acceso y uso de las tecnologías, sino que pone énfasis en la inclusión, la capacitación docente y la ciudadanía digital.</w:t>
      </w:r>
    </w:p>
    <w:p w:rsidR="00000000" w:rsidDel="00000000" w:rsidP="00000000" w:rsidRDefault="00000000" w:rsidRPr="00000000" w14:paraId="0000000E">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INCoDe.2030 establece una estructura de gobernanza clara y articulada entre ministerios, fortaleciendo el enfoque sistémico de la transformación digital educativa</w:t>
      </w:r>
      <w:r w:rsidDel="00000000" w:rsidR="00000000" w:rsidRPr="00000000">
        <w:rPr>
          <w:rFonts w:ascii="Times New Roman" w:cs="Times New Roman" w:eastAsia="Times New Roman" w:hAnsi="Times New Roman"/>
          <w:b w:val="1"/>
          <w:color w:val="fb0007"/>
          <w:u w:val="single"/>
          <w:rtl w:val="0"/>
        </w:rPr>
        <w:t xml:space="preserve"> (UNESCO, 2019a)</w:t>
      </w:r>
    </w:p>
    <w:p w:rsidR="00000000" w:rsidDel="00000000" w:rsidP="00000000" w:rsidRDefault="00000000" w:rsidRPr="00000000" w14:paraId="0000000F">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3.1.5 China y Emiratos: estrategias nacionales de IA</w:t>
      </w:r>
    </w:p>
    <w:p w:rsidR="00000000" w:rsidDel="00000000" w:rsidP="00000000" w:rsidRDefault="00000000" w:rsidRPr="00000000" w14:paraId="0000001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China y los Emiratos Árabes Unidos han adoptado enfoques ambiciosos para integrar la inteligencia artificial en sus sistemas educativos. China, a través del Plan de Desarrollo de la Inteligencia Artificial de Nueva Generación (2017), promueve el despliegue de plataformas de aprendizaje inteligente, campus inteligentes y asistentes basados en IA. Además, ha incorporado contenidos de pensamiento computacional en sus currículos de secundaria.</w:t>
      </w:r>
    </w:p>
    <w:p w:rsidR="00000000" w:rsidDel="00000000" w:rsidP="00000000" w:rsidRDefault="00000000" w:rsidRPr="00000000" w14:paraId="0000001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su parte, los Emiratos Árabes Unidos lanzaron en 2017 una Estrategia Nacional de Inteligencia Artificial, que destaca la eficiencia y reducción de costos que la IA puede ofrecer en la enseñanza. Esta política refleja una visión orientada a la innovación, la analítica de datos educativos y la personalización del aprendizaje.</w:t>
      </w:r>
    </w:p>
    <w:p w:rsidR="00000000" w:rsidDel="00000000" w:rsidP="00000000" w:rsidRDefault="00000000" w:rsidRPr="00000000" w14:paraId="00000012">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Ambos países ilustran cómo las estrategias nacionales pueden alinear el desarrollo de la IA con los objetivos educativos de mediano y largo plazo</w:t>
      </w:r>
      <w:r w:rsidDel="00000000" w:rsidR="00000000" w:rsidRPr="00000000">
        <w:rPr>
          <w:rFonts w:ascii="Times New Roman" w:cs="Times New Roman" w:eastAsia="Times New Roman" w:hAnsi="Times New Roman"/>
          <w:b w:val="1"/>
          <w:color w:val="fb0007"/>
          <w:u w:val="single"/>
          <w:rtl w:val="0"/>
        </w:rPr>
        <w:t xml:space="preserve"> (UNESCO, 2019a)</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line="360" w:lineRule="auto"/>
        <w:rPr>
          <w:rFonts w:ascii="Times New Roman" w:cs="Times New Roman" w:eastAsia="Times New Roman" w:hAnsi="Times New Roman"/>
          <w:b w:val="1"/>
          <w:color w:val="2a4b7e"/>
        </w:rPr>
      </w:pPr>
      <w:r w:rsidDel="00000000" w:rsidR="00000000" w:rsidRPr="00000000">
        <w:rPr>
          <w:rFonts w:ascii="Times New Roman" w:cs="Times New Roman" w:eastAsia="Times New Roman" w:hAnsi="Times New Roman"/>
          <w:b w:val="1"/>
          <w:color w:val="2a4b7e"/>
          <w:rtl w:val="0"/>
        </w:rPr>
        <w:t xml:space="preserve">3.2 Lecciones aplicables a Honduras</w:t>
      </w:r>
    </w:p>
    <w:p w:rsidR="00000000" w:rsidDel="00000000" w:rsidP="00000000" w:rsidRDefault="00000000" w:rsidRPr="00000000" w14:paraId="00000015">
      <w:pPr>
        <w:spacing w:after="0" w:line="360" w:lineRule="auto"/>
        <w:rPr>
          <w:rFonts w:ascii="Times New Roman" w:cs="Times New Roman" w:eastAsia="Times New Roman" w:hAnsi="Times New Roman"/>
          <w:b w:val="1"/>
          <w:color w:val="3f6caf"/>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3.2.1 Inclusión curricular progresiva</w:t>
      </w:r>
    </w:p>
    <w:p w:rsidR="00000000" w:rsidDel="00000000" w:rsidP="00000000" w:rsidRDefault="00000000" w:rsidRPr="00000000" w14:paraId="00000017">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inclusión curricular progresiva de la inteligencia artificial y la educación digital en Honduras representa una oportunidad clave para avanzar hacia una educación más equitativa y centrada en el estudiante. Experiencias como la del programa 'Educa en Digital' en España demuestran la viabilidad de políticas públicas que combinan la entrega de dispositivos, conectividad y personalización del aprendizaje mediante IA.</w:t>
      </w:r>
    </w:p>
    <w:p w:rsidR="00000000" w:rsidDel="00000000" w:rsidP="00000000" w:rsidRDefault="00000000" w:rsidRPr="00000000" w14:paraId="00000018">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Esta iniciativa ha servido como modelo de intervención multisectorial con foco en la equidad digital</w:t>
      </w:r>
      <w:r w:rsidDel="00000000" w:rsidR="00000000" w:rsidRPr="00000000">
        <w:rPr>
          <w:rFonts w:ascii="Times New Roman" w:cs="Times New Roman" w:eastAsia="Times New Roman" w:hAnsi="Times New Roman"/>
          <w:b w:val="1"/>
          <w:color w:val="fb0007"/>
          <w:u w:val="single"/>
          <w:rtl w:val="0"/>
        </w:rPr>
        <w:t xml:space="preserve"> (Ministerio de la Presidencia, Relaciones con las Cortes y Memoria Democrática, 2020)</w:t>
      </w:r>
    </w:p>
    <w:p w:rsidR="00000000" w:rsidDel="00000000" w:rsidP="00000000" w:rsidRDefault="00000000" w:rsidRPr="00000000" w14:paraId="0000001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contexto hondureño, se vuelve imperativo diseñar mecanismos de implementación que contemplen el acceso autónomo, la adaptabilidad de los recursos educativos y el principio de accesibilidad universal, especialmente para estudiantes en situación de vulnerabilidad. Aquí cobra relevancia el enfoque del Diseño Universal para el Aprendizaje (DUA), que debe ser considerado como eje transversal en las plataformas de educación virtual.</w:t>
      </w:r>
    </w:p>
    <w:p w:rsidR="00000000" w:rsidDel="00000000" w:rsidP="00000000" w:rsidRDefault="00000000" w:rsidRPr="00000000" w14:paraId="0000001A">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3.2.2 Formación docente especializada</w:t>
      </w:r>
    </w:p>
    <w:p w:rsidR="00000000" w:rsidDel="00000000" w:rsidP="00000000" w:rsidRDefault="00000000" w:rsidRPr="00000000" w14:paraId="0000001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elemento crítico para el éxito de la transformación educativa digital es el fortalecimiento de la formación docente. La experiencia internacional ha puesto en evidencia la necesidad de integrar programas formativos que aborden tanto las competencias digitales básicas como las habilidades específicas para trabajar con inteligencia artificial en el aula.</w:t>
      </w:r>
    </w:p>
    <w:p w:rsidR="00000000" w:rsidDel="00000000" w:rsidP="00000000" w:rsidRDefault="00000000" w:rsidRPr="00000000" w14:paraId="0000001C">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La UNESCO sugiere un enfoque pedagógico integral para la capacitación profesional docente, reconociendo que la IA no sustituye al educador, sino que transforma su rol</w:t>
      </w:r>
      <w:r w:rsidDel="00000000" w:rsidR="00000000" w:rsidRPr="00000000">
        <w:rPr>
          <w:rFonts w:ascii="Times New Roman" w:cs="Times New Roman" w:eastAsia="Times New Roman" w:hAnsi="Times New Roman"/>
          <w:b w:val="1"/>
          <w:color w:val="fb0007"/>
          <w:u w:val="single"/>
          <w:rtl w:val="0"/>
        </w:rPr>
        <w:t xml:space="preserve"> (UNESCO, 2019a)</w:t>
      </w:r>
    </w:p>
    <w:p w:rsidR="00000000" w:rsidDel="00000000" w:rsidP="00000000" w:rsidRDefault="00000000" w:rsidRPr="00000000" w14:paraId="0000001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Honduras, se requiere diseñar un plan de formación continua para los educadores en servicio, así como la incorporación de la alfabetización digital en los programas de formación inicial docente. Este proceso debe estar articulado con el desarrollo de metodologías activas y estrategias inclusivas que potencien el uso de tecnologías emergentes para mejorar el aprendizaje.</w:t>
      </w:r>
    </w:p>
    <w:p w:rsidR="00000000" w:rsidDel="00000000" w:rsidP="00000000" w:rsidRDefault="00000000" w:rsidRPr="00000000" w14:paraId="0000001E">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3.2.3 Protocolos éticos</w:t>
      </w:r>
    </w:p>
    <w:p w:rsidR="00000000" w:rsidDel="00000000" w:rsidP="00000000" w:rsidRDefault="00000000" w:rsidRPr="00000000" w14:paraId="0000001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despliegue de sistemas basados en inteligencia artificial en el entorno educativo plantea desafíos éticos significativos que deben abordarse desde la política pública. Entre ellos, destacan los riesgos asociados a la privacidad de los datos, los sesgos algorítmicos y la reproducción de desigualdades sociales.</w:t>
      </w:r>
    </w:p>
    <w:p w:rsidR="00000000" w:rsidDel="00000000" w:rsidP="00000000" w:rsidRDefault="00000000" w:rsidRPr="00000000" w14:paraId="00000020">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La normativa española ha incorporado el derecho a la protección de datos como parte de los derechos fundamentales en entornos digitales</w:t>
      </w:r>
      <w:r w:rsidDel="00000000" w:rsidR="00000000" w:rsidRPr="00000000">
        <w:rPr>
          <w:rFonts w:ascii="Times New Roman" w:cs="Times New Roman" w:eastAsia="Times New Roman" w:hAnsi="Times New Roman"/>
          <w:b w:val="1"/>
          <w:color w:val="fb0007"/>
          <w:u w:val="single"/>
          <w:rtl w:val="0"/>
        </w:rPr>
        <w:t xml:space="preserve"> (Cazurro Barahona, 2023)</w:t>
      </w:r>
    </w:p>
    <w:p w:rsidR="00000000" w:rsidDel="00000000" w:rsidP="00000000" w:rsidRDefault="00000000" w:rsidRPr="00000000" w14:paraId="0000002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Honduras, resulta crucial establecer marcos regulatorios claros que rijan el uso de tecnologías de IA en la educación, garantizando tanto la protección de los derechos del alumnado como la transparencia en el desarrollo y aplicación de algoritmos educativos. La ética no debe ser una dimensión secundaria, sino parte constitutiva del diseño institucional de estas tecnologías.</w:t>
      </w:r>
    </w:p>
    <w:p w:rsidR="00000000" w:rsidDel="00000000" w:rsidP="00000000" w:rsidRDefault="00000000" w:rsidRPr="00000000" w14:paraId="00000022">
      <w:pPr>
        <w:spacing w:after="0" w:line="360" w:lineRule="auto"/>
        <w:rPr>
          <w:rFonts w:ascii="Times New Roman" w:cs="Times New Roman" w:eastAsia="Times New Roman" w:hAnsi="Times New Roman"/>
          <w:b w:val="1"/>
          <w:color w:val="3f6caf"/>
        </w:rPr>
      </w:pPr>
      <w:r w:rsidDel="00000000" w:rsidR="00000000" w:rsidRPr="00000000">
        <w:rPr>
          <w:rFonts w:ascii="Times New Roman" w:cs="Times New Roman" w:eastAsia="Times New Roman" w:hAnsi="Times New Roman"/>
          <w:b w:val="1"/>
          <w:color w:val="3f6caf"/>
          <w:rtl w:val="0"/>
        </w:rPr>
        <w:t xml:space="preserve">3.2.4 Gobernanza multisectorial</w:t>
      </w:r>
    </w:p>
    <w:p w:rsidR="00000000" w:rsidDel="00000000" w:rsidP="00000000" w:rsidRDefault="00000000" w:rsidRPr="00000000" w14:paraId="00000023">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transformación digital del sistema educativo hondureño requiere de una gobernanza articulada que involucre múltiples sectores. La experiencia comparada muestra que las políticas más efectivas surgen de alianzas entre los ministerios de educación, ciencia y tecnología, universidades, sector privado y organismos internacionales.</w:t>
      </w:r>
    </w:p>
    <w:p w:rsidR="00000000" w:rsidDel="00000000" w:rsidP="00000000" w:rsidRDefault="00000000" w:rsidRPr="00000000" w14:paraId="00000024">
      <w:pPr>
        <w:spacing w:after="160" w:line="360" w:lineRule="auto"/>
        <w:rPr>
          <w:rFonts w:ascii="Times New Roman" w:cs="Times New Roman" w:eastAsia="Times New Roman" w:hAnsi="Times New Roman"/>
          <w:b w:val="1"/>
          <w:color w:val="fb0007"/>
          <w:u w:val="single"/>
        </w:rPr>
      </w:pPr>
      <w:r w:rsidDel="00000000" w:rsidR="00000000" w:rsidRPr="00000000">
        <w:rPr>
          <w:rFonts w:ascii="Times New Roman" w:cs="Times New Roman" w:eastAsia="Times New Roman" w:hAnsi="Times New Roman"/>
          <w:rtl w:val="0"/>
        </w:rPr>
        <w:t xml:space="preserve">La UNESCO plantea que la planificación de políticas sobre IA en educación debe ser participativa, interdisciplinaria y multisectorial</w:t>
      </w:r>
      <w:r w:rsidDel="00000000" w:rsidR="00000000" w:rsidRPr="00000000">
        <w:rPr>
          <w:rFonts w:ascii="Times New Roman" w:cs="Times New Roman" w:eastAsia="Times New Roman" w:hAnsi="Times New Roman"/>
          <w:b w:val="1"/>
          <w:color w:val="fb0007"/>
          <w:u w:val="single"/>
          <w:rtl w:val="0"/>
        </w:rPr>
        <w:t xml:space="preserve"> (UNESCO, 2019a)</w:t>
      </w:r>
    </w:p>
    <w:p w:rsidR="00000000" w:rsidDel="00000000" w:rsidP="00000000" w:rsidRDefault="00000000" w:rsidRPr="00000000" w14:paraId="00000025">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sentido, Honduras puede avanzar hacia un modelo de gobernanza educativa que garantice la sostenibilidad, coordinación interinstitucional y el enfoque centrado en el aprendizaje. Además, debe promover espacios de diálogo social y técnico que aseguren la corresponsabilidad entre los actores del ecosistema digital educativo.</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Bibliográficas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Artículo de revista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Cazurro Barahona, V.</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artículo: La regulación del derecho a la educación digital en España: Hacia una garantía efectiva en la sociedad del conocimiento.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 la revista: Cadernos de Dereito Actual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2023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Volumen: 21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Ordinario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Páginas: 305–325</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Ciudad: Madrid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Artículo académico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 o URL: </w:t>
      </w:r>
      <w:hyperlink r:id="rId7">
        <w:r w:rsidDel="00000000" w:rsidR="00000000" w:rsidRPr="00000000">
          <w:rPr>
            <w:rFonts w:ascii="Times New Roman" w:cs="Times New Roman" w:eastAsia="Times New Roman" w:hAnsi="Times New Roman"/>
            <w:rtl w:val="0"/>
          </w:rPr>
          <w:t xml:space="preserve">https://doi.org/10.5281/zenodo.8043868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Informe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 corporativo: UNESCO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Inteligencia artificial y educación: Guía para las personas a cargo de formular políticas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2019</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Editorial o entidad editora: UNESCO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Ciudad (lugar de publicación): París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Guía institucional</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color w:val="2a4b7e"/>
        </w:rPr>
      </w:pPr>
      <w:r w:rsidDel="00000000" w:rsidR="00000000" w:rsidRPr="00000000">
        <w:rPr>
          <w:rtl w:val="0"/>
        </w:rPr>
      </w:r>
    </w:p>
    <w:p w:rsidR="00000000" w:rsidDel="00000000" w:rsidP="00000000" w:rsidRDefault="00000000" w:rsidRPr="00000000" w14:paraId="0000003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Informe</w:t>
      </w:r>
    </w:p>
    <w:p w:rsidR="00000000" w:rsidDel="00000000" w:rsidP="00000000" w:rsidRDefault="00000000" w:rsidRPr="00000000" w14:paraId="0000003E">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Ministerio de la Presidencia, Relaciones con las Cortes y Memoria Democrática</w:t>
      </w:r>
    </w:p>
    <w:p w:rsidR="00000000" w:rsidDel="00000000" w:rsidP="00000000" w:rsidRDefault="00000000" w:rsidRPr="00000000" w14:paraId="0000003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Resolución de 7 de julio de 2020</w:t>
      </w:r>
    </w:p>
    <w:p w:rsidR="00000000" w:rsidDel="00000000" w:rsidP="00000000" w:rsidRDefault="00000000" w:rsidRPr="00000000" w14:paraId="0000004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2020</w:t>
      </w:r>
    </w:p>
    <w:p w:rsidR="00000000" w:rsidDel="00000000" w:rsidP="00000000" w:rsidRDefault="00000000" w:rsidRPr="00000000" w14:paraId="0000004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Editorial o entidad editora: Boletín Oficial del Estado</w:t>
      </w:r>
    </w:p>
    <w:p w:rsidR="00000000" w:rsidDel="00000000" w:rsidP="00000000" w:rsidRDefault="00000000" w:rsidRPr="00000000" w14:paraId="00000042">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Ciudad (lugar de publicación): Madrid</w:t>
      </w:r>
    </w:p>
    <w:p w:rsidR="00000000" w:rsidDel="00000000" w:rsidP="00000000" w:rsidRDefault="00000000" w:rsidRPr="00000000" w14:paraId="00000043">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Documento técnico</w:t>
      </w:r>
    </w:p>
    <w:p w:rsidR="00000000" w:rsidDel="00000000" w:rsidP="00000000" w:rsidRDefault="00000000" w:rsidRPr="00000000" w14:paraId="00000044">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Artículo de revista</w:t>
      </w:r>
    </w:p>
    <w:p w:rsidR="00000000" w:rsidDel="00000000" w:rsidP="00000000" w:rsidRDefault="00000000" w:rsidRPr="00000000" w14:paraId="00000046">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Crisol-Moya, E., Herrera-Nieves, L., &amp; Montes-Soldado, R.</w:t>
      </w:r>
    </w:p>
    <w:p w:rsidR="00000000" w:rsidDel="00000000" w:rsidP="00000000" w:rsidRDefault="00000000" w:rsidRPr="00000000" w14:paraId="00000047">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Educación virtual para todos: una revisión sistemática</w:t>
      </w:r>
    </w:p>
    <w:p w:rsidR="00000000" w:rsidDel="00000000" w:rsidP="00000000" w:rsidRDefault="00000000" w:rsidRPr="00000000" w14:paraId="00000048">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 la revista: Ediciones Universidad de Salamanca</w:t>
      </w:r>
    </w:p>
    <w:p w:rsidR="00000000" w:rsidDel="00000000" w:rsidP="00000000" w:rsidRDefault="00000000" w:rsidRPr="00000000" w14:paraId="0000004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2018</w:t>
      </w:r>
    </w:p>
    <w:p w:rsidR="00000000" w:rsidDel="00000000" w:rsidP="00000000" w:rsidRDefault="00000000" w:rsidRPr="00000000" w14:paraId="0000004A">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Volumen: 15</w:t>
      </w:r>
    </w:p>
    <w:p w:rsidR="00000000" w:rsidDel="00000000" w:rsidP="00000000" w:rsidRDefault="00000000" w:rsidRPr="00000000" w14:paraId="0000004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Páginas: 3-13</w:t>
      </w:r>
    </w:p>
    <w:p w:rsidR="00000000" w:rsidDel="00000000" w:rsidP="00000000" w:rsidRDefault="00000000" w:rsidRPr="00000000" w14:paraId="0000004C">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Artículo académico</w:t>
      </w:r>
    </w:p>
    <w:p w:rsidR="00000000" w:rsidDel="00000000" w:rsidP="00000000" w:rsidRDefault="00000000" w:rsidRPr="00000000" w14:paraId="0000004D">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Informe</w:t>
      </w:r>
    </w:p>
    <w:p w:rsidR="00000000" w:rsidDel="00000000" w:rsidP="00000000" w:rsidRDefault="00000000" w:rsidRPr="00000000" w14:paraId="0000004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UNESCO</w:t>
      </w:r>
    </w:p>
    <w:p w:rsidR="00000000" w:rsidDel="00000000" w:rsidP="00000000" w:rsidRDefault="00000000" w:rsidRPr="00000000" w14:paraId="0000005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Inteligencia artificial y educación: Guía para las personas a cargo de formular políticas</w:t>
      </w:r>
    </w:p>
    <w:p w:rsidR="00000000" w:rsidDel="00000000" w:rsidP="00000000" w:rsidRDefault="00000000" w:rsidRPr="00000000" w14:paraId="0000005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2019</w:t>
      </w:r>
    </w:p>
    <w:p w:rsidR="00000000" w:rsidDel="00000000" w:rsidP="00000000" w:rsidRDefault="00000000" w:rsidRPr="00000000" w14:paraId="00000052">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Editorial o entidad editora: UNESCO</w:t>
      </w:r>
    </w:p>
    <w:p w:rsidR="00000000" w:rsidDel="00000000" w:rsidP="00000000" w:rsidRDefault="00000000" w:rsidRPr="00000000" w14:paraId="00000053">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Ciudad (lugar de publicación): París</w:t>
      </w:r>
    </w:p>
    <w:p w:rsidR="00000000" w:rsidDel="00000000" w:rsidP="00000000" w:rsidRDefault="00000000" w:rsidRPr="00000000" w14:paraId="00000054">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Guía institucional</w:t>
      </w:r>
    </w:p>
    <w:p w:rsidR="00000000" w:rsidDel="00000000" w:rsidP="00000000" w:rsidRDefault="00000000" w:rsidRPr="00000000" w14:paraId="00000055">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Artículo de revista</w:t>
      </w:r>
    </w:p>
    <w:p w:rsidR="00000000" w:rsidDel="00000000" w:rsidP="00000000" w:rsidRDefault="00000000" w:rsidRPr="00000000" w14:paraId="00000057">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Cazurro Barahona, V.</w:t>
      </w:r>
    </w:p>
    <w:p w:rsidR="00000000" w:rsidDel="00000000" w:rsidP="00000000" w:rsidRDefault="00000000" w:rsidRPr="00000000" w14:paraId="00000058">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La regulación del derecho a la educación digital en España: Hacia una garantía efectiva en la sociedad del conocimiento</w:t>
      </w:r>
    </w:p>
    <w:p w:rsidR="00000000" w:rsidDel="00000000" w:rsidP="00000000" w:rsidRDefault="00000000" w:rsidRPr="00000000" w14:paraId="0000005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 la revista: Cadernos de Dereito Actual</w:t>
      </w:r>
    </w:p>
    <w:p w:rsidR="00000000" w:rsidDel="00000000" w:rsidP="00000000" w:rsidRDefault="00000000" w:rsidRPr="00000000" w14:paraId="0000005A">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2023</w:t>
      </w:r>
    </w:p>
    <w:p w:rsidR="00000000" w:rsidDel="00000000" w:rsidP="00000000" w:rsidRDefault="00000000" w:rsidRPr="00000000" w14:paraId="0000005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Volumen: 21</w:t>
      </w:r>
    </w:p>
    <w:p w:rsidR="00000000" w:rsidDel="00000000" w:rsidP="00000000" w:rsidRDefault="00000000" w:rsidRPr="00000000" w14:paraId="0000005C">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Páginas: 305-325</w:t>
      </w:r>
    </w:p>
    <w:p w:rsidR="00000000" w:rsidDel="00000000" w:rsidP="00000000" w:rsidRDefault="00000000" w:rsidRPr="00000000" w14:paraId="0000005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Artículo académico</w:t>
      </w:r>
    </w:p>
    <w:p w:rsidR="00000000" w:rsidDel="00000000" w:rsidP="00000000" w:rsidRDefault="00000000" w:rsidRPr="00000000" w14:paraId="0000005E">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Artículo de revista</w:t>
      </w:r>
    </w:p>
    <w:p w:rsidR="00000000" w:rsidDel="00000000" w:rsidP="00000000" w:rsidRDefault="00000000" w:rsidRPr="00000000" w14:paraId="0000006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Zamora, M. M., &amp; Sánchez Ramírez, S. P.</w:t>
      </w:r>
    </w:p>
    <w:p w:rsidR="00000000" w:rsidDel="00000000" w:rsidP="00000000" w:rsidRDefault="00000000" w:rsidRPr="00000000" w14:paraId="0000006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Educación inclusiva en entornos virtuales: Barreras y oportunidades para estudiantes con discapacidad</w:t>
      </w:r>
    </w:p>
    <w:p w:rsidR="00000000" w:rsidDel="00000000" w:rsidP="00000000" w:rsidRDefault="00000000" w:rsidRPr="00000000" w14:paraId="00000062">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 la revista: -</w:t>
      </w:r>
    </w:p>
    <w:p w:rsidR="00000000" w:rsidDel="00000000" w:rsidP="00000000" w:rsidRDefault="00000000" w:rsidRPr="00000000" w14:paraId="00000063">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s.f.</w:t>
      </w:r>
    </w:p>
    <w:p w:rsidR="00000000" w:rsidDel="00000000" w:rsidP="00000000" w:rsidRDefault="00000000" w:rsidRPr="00000000" w14:paraId="00000064">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Artículo académico</w:t>
      </w:r>
    </w:p>
    <w:p w:rsidR="00000000" w:rsidDel="00000000" w:rsidP="00000000" w:rsidRDefault="00000000" w:rsidRPr="00000000" w14:paraId="00000065">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Artículo de revista</w:t>
      </w:r>
    </w:p>
    <w:p w:rsidR="00000000" w:rsidDel="00000000" w:rsidP="00000000" w:rsidRDefault="00000000" w:rsidRPr="00000000" w14:paraId="00000067">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Ruiz-Fuentes, J. P., &amp; Martínez De la Muela, A.</w:t>
      </w:r>
    </w:p>
    <w:p w:rsidR="00000000" w:rsidDel="00000000" w:rsidP="00000000" w:rsidRDefault="00000000" w:rsidRPr="00000000" w14:paraId="00000068">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Transformación educativa: Inteligencia artificial en la mejora de la calidad y la tutoría electrónica</w:t>
      </w:r>
    </w:p>
    <w:p w:rsidR="00000000" w:rsidDel="00000000" w:rsidP="00000000" w:rsidRDefault="00000000" w:rsidRPr="00000000" w14:paraId="0000006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 la revista: EDETANIA</w:t>
      </w:r>
    </w:p>
    <w:p w:rsidR="00000000" w:rsidDel="00000000" w:rsidP="00000000" w:rsidRDefault="00000000" w:rsidRPr="00000000" w14:paraId="0000006A">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2024</w:t>
      </w:r>
    </w:p>
    <w:p w:rsidR="00000000" w:rsidDel="00000000" w:rsidP="00000000" w:rsidRDefault="00000000" w:rsidRPr="00000000" w14:paraId="0000006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Volumen: 65</w:t>
      </w:r>
    </w:p>
    <w:p w:rsidR="00000000" w:rsidDel="00000000" w:rsidP="00000000" w:rsidRDefault="00000000" w:rsidRPr="00000000" w14:paraId="0000006C">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Páginas: 167–190</w:t>
      </w:r>
    </w:p>
    <w:p w:rsidR="00000000" w:rsidDel="00000000" w:rsidP="00000000" w:rsidRDefault="00000000" w:rsidRPr="00000000" w14:paraId="0000006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Artículo académico</w:t>
      </w:r>
    </w:p>
    <w:p w:rsidR="00000000" w:rsidDel="00000000" w:rsidP="00000000" w:rsidRDefault="00000000" w:rsidRPr="00000000" w14:paraId="0000006E">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Artículo de revista</w:t>
      </w:r>
    </w:p>
    <w:p w:rsidR="00000000" w:rsidDel="00000000" w:rsidP="00000000" w:rsidRDefault="00000000" w:rsidRPr="00000000" w14:paraId="0000007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Díez-Gutiérrez, E.-J., &amp; Jarquín-Ramírez, M.-R.</w:t>
      </w:r>
    </w:p>
    <w:p w:rsidR="00000000" w:rsidDel="00000000" w:rsidP="00000000" w:rsidRDefault="00000000" w:rsidRPr="00000000" w14:paraId="0000007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Inteligencia artificial generativa y educación superior: entre la distopía tecnoliberal y la utopía emancipadora</w:t>
      </w:r>
    </w:p>
    <w:p w:rsidR="00000000" w:rsidDel="00000000" w:rsidP="00000000" w:rsidRDefault="00000000" w:rsidRPr="00000000" w14:paraId="00000072">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 la revista: methaodos. Revista de ciencias sociales</w:t>
      </w:r>
    </w:p>
    <w:p w:rsidR="00000000" w:rsidDel="00000000" w:rsidP="00000000" w:rsidRDefault="00000000" w:rsidRPr="00000000" w14:paraId="00000073">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2023</w:t>
      </w:r>
    </w:p>
    <w:p w:rsidR="00000000" w:rsidDel="00000000" w:rsidP="00000000" w:rsidRDefault="00000000" w:rsidRPr="00000000" w14:paraId="00000074">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Volumen: 11</w:t>
      </w:r>
    </w:p>
    <w:p w:rsidR="00000000" w:rsidDel="00000000" w:rsidP="00000000" w:rsidRDefault="00000000" w:rsidRPr="00000000" w14:paraId="00000075">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2</w:t>
      </w:r>
    </w:p>
    <w:p w:rsidR="00000000" w:rsidDel="00000000" w:rsidP="00000000" w:rsidRDefault="00000000" w:rsidRPr="00000000" w14:paraId="00000076">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Páginas: 1–19</w:t>
      </w:r>
    </w:p>
    <w:p w:rsidR="00000000" w:rsidDel="00000000" w:rsidP="00000000" w:rsidRDefault="00000000" w:rsidRPr="00000000" w14:paraId="00000077">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Artículo académico</w:t>
      </w:r>
    </w:p>
    <w:p w:rsidR="00000000" w:rsidDel="00000000" w:rsidP="00000000" w:rsidRDefault="00000000" w:rsidRPr="00000000" w14:paraId="00000078">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fuente bibliográfica: Artículo de revista</w:t>
      </w:r>
    </w:p>
    <w:p w:rsidR="00000000" w:rsidDel="00000000" w:rsidP="00000000" w:rsidRDefault="00000000" w:rsidRPr="00000000" w14:paraId="0000007A">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 Briceño Toledo, M., Correa Castillo, S., Valdés Montecinos, M., &amp; Hadweh Briceño, M.</w:t>
      </w:r>
    </w:p>
    <w:p w:rsidR="00000000" w:rsidDel="00000000" w:rsidP="00000000" w:rsidRDefault="00000000" w:rsidRPr="00000000" w14:paraId="0000007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del documento: Modelo de gestión educativa para programas en modalidad virtual de aprendizaje</w:t>
      </w:r>
    </w:p>
    <w:p w:rsidR="00000000" w:rsidDel="00000000" w:rsidP="00000000" w:rsidRDefault="00000000" w:rsidRPr="00000000" w14:paraId="0000007C">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 la revista: Revista de Ciencias Sociales</w:t>
      </w:r>
    </w:p>
    <w:p w:rsidR="00000000" w:rsidDel="00000000" w:rsidP="00000000" w:rsidRDefault="00000000" w:rsidRPr="00000000" w14:paraId="0000007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Año: 2020</w:t>
      </w:r>
    </w:p>
    <w:p w:rsidR="00000000" w:rsidDel="00000000" w:rsidP="00000000" w:rsidRDefault="00000000" w:rsidRPr="00000000" w14:paraId="0000007E">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Volumen: 26</w:t>
      </w:r>
    </w:p>
    <w:p w:rsidR="00000000" w:rsidDel="00000000" w:rsidP="00000000" w:rsidRDefault="00000000" w:rsidRPr="00000000" w14:paraId="0000007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2</w:t>
      </w:r>
    </w:p>
    <w:p w:rsidR="00000000" w:rsidDel="00000000" w:rsidP="00000000" w:rsidRDefault="00000000" w:rsidRPr="00000000" w14:paraId="0000008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Páginas: 286-298</w:t>
      </w:r>
    </w:p>
    <w:p w:rsidR="00000000" w:rsidDel="00000000" w:rsidP="00000000" w:rsidRDefault="00000000" w:rsidRPr="00000000" w14:paraId="0000008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documento: Artículo académico</w:t>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5281/zenodo.8043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Tv5ElM8KTz1zvCKGo5F7+a/saw==">CgMxLjA4AHIhMW1DMjliV0RfS2c4VWNyMWdxdmtzZXowNjRiNG9ZTUMw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