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6.3.1. Fase 1: Piloto y Formación</w:t>
      </w:r>
    </w:p>
    <w:p>
      <w:r>
        <w:t>Esta sección forma parte del plan de implementación progresiva de la política institucional para la regulación y desarrollo de la educación virtual y el uso ético de la inteligencia artificial (IA) en el sistema educativo hondureño. La Fase 1 establece la base operativa y experimental del modelo propuesto, a través de la ejecución de proyectos piloto en centros educativos seleccionados. Esta fase busca validar la viabilidad técnica, pedagógica y organizativa del modelo normativo aprobado, respetando los principios de equidad, inclusión y sostenibilidad.</w:t>
      </w:r>
    </w:p>
    <w:p>
      <w:pPr>
        <w:pStyle w:val="Heading2"/>
      </w:pPr>
      <w:r>
        <w:t>Objetivo de la Fase</w:t>
      </w:r>
    </w:p>
    <w:p>
      <w:r>
        <w:t>Validar el modelo educativo virtual con apoyo de IA mediante la implementación de pilotos en centros educativos públicos de primaria y secundaria, fortaleciendo capacidades docentes, monitoreando procesos de enseñanza-aprendizaje, y generando evidencia para la fase de escalamiento posterior.</w:t>
      </w:r>
    </w:p>
    <w:p>
      <w:pPr>
        <w:pStyle w:val="Heading2"/>
      </w:pPr>
      <w:r>
        <w:t>Acciones estratégicas</w:t>
      </w:r>
    </w:p>
    <w:p>
      <w:pPr>
        <w:pStyle w:val="ListBullet"/>
      </w:pPr>
      <w:r>
        <w:t>1. Selección de centros piloto con conectividad mínima y disposición institucional.</w:t>
      </w:r>
    </w:p>
    <w:p>
      <w:pPr>
        <w:pStyle w:val="ListBullet"/>
      </w:pPr>
      <w:r>
        <w:t>2. Definición de contenidos curriculares virtuales adaptados al nivel básico y medio.</w:t>
      </w:r>
    </w:p>
    <w:p>
      <w:pPr>
        <w:pStyle w:val="ListBullet"/>
      </w:pPr>
      <w:r>
        <w:t>3. Implementación referencial de plataformas educativas funcionales (ej. Moodle, TutorVirtualUTN, MystiCode).</w:t>
      </w:r>
    </w:p>
    <w:p>
      <w:pPr>
        <w:pStyle w:val="ListBullet"/>
      </w:pPr>
      <w:r>
        <w:t>4. Capacitación docente sobre el uso pedagógico de plataformas, herramientas de IA educativa y principios éticos.</w:t>
      </w:r>
    </w:p>
    <w:p>
      <w:pPr>
        <w:pStyle w:val="ListBullet"/>
      </w:pPr>
      <w:r>
        <w:t>5. Monitoreo pedagógico y acompañamiento técnico continuo durante el piloto.</w:t>
      </w:r>
    </w:p>
    <w:p>
      <w:pPr>
        <w:pStyle w:val="ListBullet"/>
      </w:pPr>
      <w:r>
        <w:t>6. Evaluación formativa con rúbricas de desempeño, satisfacción y resultados de aprendizaje.</w:t>
      </w:r>
    </w:p>
    <w:p>
      <w:pPr>
        <w:pStyle w:val="ListBullet"/>
      </w:pPr>
      <w:r>
        <w:t>7. Sistematización de hallazgos, buenas prácticas y propuestas de mejora para la fase siguiente.</w:t>
      </w:r>
    </w:p>
    <w:p>
      <w:pPr>
        <w:pStyle w:val="Heading2"/>
      </w:pPr>
      <w:r>
        <w:t>Responsables institucionales</w:t>
      </w:r>
    </w:p>
    <w:p>
      <w:r>
        <w:t>Secretaría de Educación (SEDUC), Dirección General de Currículo, Dirección de Innovación Educativa, SENACIT, UPNFM, y universidades colaboradoras con experiencia en educación virtual.</w:t>
      </w:r>
    </w:p>
    <w:p>
      <w:pPr>
        <w:pStyle w:val="Heading2"/>
      </w:pPr>
      <w:r>
        <w:t>Indicadores de avance</w:t>
      </w:r>
    </w:p>
    <w:p>
      <w:r>
        <w:t>- % de docentes capacitados en herramientas digitales y uso ético de la IA.</w:t>
        <w:br/>
        <w:t>- % de estudiantes con acceso regular a plataformas virtuales.</w:t>
        <w:br/>
        <w:t>- Nivel de desempeño académico comparado entre entornos presenciales y virtuales.</w:t>
        <w:br/>
        <w:t>- Nivel de satisfacción docente y estudiantil en el piloto.</w:t>
        <w:br/>
        <w:t>- Documentación de resultados y ajustes curriculares generados.</w:t>
      </w:r>
    </w:p>
    <w:p>
      <w:pPr>
        <w:pStyle w:val="Heading2"/>
      </w:pPr>
      <w:r>
        <w:t>Condiciones mínimas</w:t>
      </w:r>
    </w:p>
    <w:p>
      <w:r>
        <w:t>- Acceso básico a Internet.</w:t>
        <w:br/>
        <w:t>- Disponibilidad de al menos un dispositivo por aula o por docente.</w:t>
        <w:br/>
        <w:t>- Participación voluntaria y compromiso institucional de los centros.</w:t>
        <w:br/>
        <w:t>- Presencia de equipo técnico y pedagógico para soporte y evaluación.</w:t>
      </w:r>
    </w:p>
    <w:p>
      <w:pPr>
        <w:pStyle w:val="Heading2"/>
      </w:pPr>
      <w:r>
        <w:t>Plazo estimado</w:t>
      </w:r>
    </w:p>
    <w:p>
      <w:r>
        <w:t>Doce (12) meses, contados a partir de la publicación oficial del acuerdo ministerial o resolución normativa que apruebe esta política.</w:t>
      </w:r>
    </w:p>
    <w:p>
      <w:pPr>
        <w:pStyle w:val="Heading2"/>
      </w:pPr>
      <w:r>
        <w:t>Fundamentación y citas documentales</w:t>
      </w:r>
    </w:p>
    <w:p>
      <w:r>
        <w:rPr>
          <w:sz w:val="22"/>
        </w:rPr>
        <w:t xml:space="preserve">La plataforma educativa MystiCode, producto de un proyecto académico con enfoque en IA, fue valorada como funcional, replicable y técnicamente viable para entornos de educación virtual. </w:t>
      </w:r>
      <w:r>
        <w:rPr>
          <w:b/>
          <w:color w:val="FF0000"/>
          <w:u w:val="single"/>
        </w:rPr>
        <w:t>(_</w:t>
        <w:t>Hernández Cruz, 2025</w:t>
        <w:t>_)</w:t>
      </w:r>
    </w:p>
    <w:p>
      <w:r>
        <w:t xml:space="preserve">La </w:t>
        <w:t xml:space="preserve">UNESCO recomienda iniciar la adopción de tecnologías emergentes con pruebas piloto controladas, orientadas a las necesidades prácticas del profesorado, y con base en evidencia pedagógica. </w:t>
      </w:r>
      <w:r>
        <w:rPr>
          <w:b/>
          <w:color w:val="FF0000"/>
          <w:u w:val="single"/>
        </w:rPr>
        <w:t>(_</w:t>
        <w:t>UNESCO, 2019a</w:t>
        <w:t>_)</w:t>
      </w:r>
    </w:p>
    <w:p>
      <w:r>
        <w:t xml:space="preserve">El estudio de caso de once docentes en formación en modalidad virtual confirmó la eficacia de la capacitación en buenas prácticas y evaluación de actividades adaptadas </w:t>
      </w:r>
      <w:r>
        <w:rPr>
          <w:b/>
          <w:color w:val="FF0000"/>
          <w:u w:val="single"/>
        </w:rPr>
        <w:t>(_</w:t>
        <w:t>Durán Rodríguez &amp; Estay-Niculcar, 2016</w:t>
        <w:t>_)</w:t>
      </w:r>
    </w:p>
    <w:p>
      <w:r>
        <w:t xml:space="preserve">Asimismo, experiencias como el modelo TutorVirtualUTN y el Proyecto Serrano de Chile demostraron que la implementación inicial basada en pilotos permite generar procesos sostenidos de mejora institucional </w:t>
      </w:r>
      <w:r>
        <w:rPr>
          <w:b/>
          <w:color w:val="FF0000"/>
          <w:u w:val="single"/>
        </w:rPr>
        <w:t>(_</w:t>
        <w:t>Z13, Z14</w:t>
        <w:t>_)</w:t>
      </w:r>
    </w:p>
    <w:p>
      <w:r>
        <w:t xml:space="preserve">La fase de formación debe considerar el diseño de competencias específicas para el entorno virtual, como lo señalan Buitrago-Bohórquez y Sánchez en su análisis sobre formación pedagógica y tecnológica en educación virtual </w:t>
      </w:r>
      <w:r>
        <w:rPr>
          <w:b/>
          <w:color w:val="FF0000"/>
          <w:u w:val="single"/>
        </w:rPr>
        <w:t>(_</w:t>
        <w:t>Buitrago-Bohórquez &amp; Sánchez, 2021</w:t>
        <w:t>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