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6.3.2. Fase 2: Implementación Parcial</w:t>
      </w:r>
    </w:p>
    <w:p>
      <w:r>
        <w:t>La Fase 2 del plan de implementación institucional corresponde al escalamiento parcial de la política de educación virtual y uso ético de la inteligencia artificial (IA) en el sistema educativo nacional. Esta etapa se basa en los resultados de la Fase 1 (piloto) y tiene como finalidad ampliar el alcance del modelo en más centros educativos de educación básica y media, fortaleciendo la infraestructura, capacidades docentes y herramientas pedagógicas.</w:t>
      </w:r>
    </w:p>
    <w:p>
      <w:pPr>
        <w:pStyle w:val="Heading2"/>
      </w:pPr>
      <w:r>
        <w:t>Objetivo de la Fase</w:t>
      </w:r>
    </w:p>
    <w:p>
      <w:r>
        <w:t>Ampliar de manera progresiva la cobertura de la educación virtual con apoyo de IA en el sistema educativo público, fortaleciendo capacidades técnicas, curriculares e institucionales para su sostenibilidad.</w:t>
      </w:r>
    </w:p>
    <w:p>
      <w:pPr>
        <w:pStyle w:val="Heading2"/>
      </w:pPr>
      <w:r>
        <w:t>Acciones estratégicas</w:t>
      </w:r>
    </w:p>
    <w:p>
      <w:pPr>
        <w:pStyle w:val="ListBullet"/>
      </w:pPr>
      <w:r>
        <w:t>1. Selección de nuevos centros escolares a partir de los aprendizajes de la Fase 1.</w:t>
      </w:r>
    </w:p>
    <w:p>
      <w:pPr>
        <w:pStyle w:val="ListBullet"/>
      </w:pPr>
      <w:r>
        <w:t>2. Adaptación del currículo en función de los contextos y resultados obtenidos.</w:t>
      </w:r>
    </w:p>
    <w:p>
      <w:pPr>
        <w:pStyle w:val="ListBullet"/>
      </w:pPr>
      <w:r>
        <w:t>3. Incorporación gradual de tecnologías de IA como sistemas de tutoría inteligente y aprendizaje personalizado.</w:t>
      </w:r>
    </w:p>
    <w:p>
      <w:pPr>
        <w:pStyle w:val="ListBullet"/>
      </w:pPr>
      <w:r>
        <w:t>4. Ampliación de la formación docente especializada en herramientas digitales, didáctica virtual e inclusión.</w:t>
      </w:r>
    </w:p>
    <w:p>
      <w:pPr>
        <w:pStyle w:val="ListBullet"/>
      </w:pPr>
      <w:r>
        <w:t>5. Establecimiento de redes de colaboración interinstitucional (universidades, entes técnicos y centros educativos).</w:t>
      </w:r>
    </w:p>
    <w:p>
      <w:pPr>
        <w:pStyle w:val="ListBullet"/>
      </w:pPr>
      <w:r>
        <w:t>6. Evaluación comparativa entre centros con y sin implementación para ajustar políticas.</w:t>
      </w:r>
    </w:p>
    <w:p>
      <w:pPr>
        <w:pStyle w:val="ListBullet"/>
      </w:pPr>
      <w:r>
        <w:t>7. Consolidación de repositorios de recursos educativos digitales y buenas prácticas institucionales.</w:t>
      </w:r>
    </w:p>
    <w:p>
      <w:pPr>
        <w:pStyle w:val="Heading2"/>
      </w:pPr>
      <w:r>
        <w:t>Responsables institucionales</w:t>
      </w:r>
    </w:p>
    <w:p>
      <w:r>
        <w:t>Secretaría de Educación (SEDUC), SENACIT, UPNFM, universidades asociadas, y direcciones departamentales de educación en regiones seleccionadas.</w:t>
      </w:r>
    </w:p>
    <w:p>
      <w:pPr>
        <w:pStyle w:val="Heading2"/>
      </w:pPr>
      <w:r>
        <w:t>Indicadores de avance</w:t>
      </w:r>
    </w:p>
    <w:p>
      <w:r>
        <w:t>- Número de centros educativos con implementación activa.</w:t>
        <w:br/>
        <w:t>- Proporción de estudiantes accediendo regularmente a la modalidad virtual.</w:t>
        <w:br/>
        <w:t>- Porcentaje de docentes capacitados en herramientas y métodos adaptativos.</w:t>
        <w:br/>
        <w:t>- Calidad de aprendizaje según resultados comparativos.</w:t>
        <w:br/>
        <w:t>- Documentación de mejoras curriculares y adaptaciones locales.</w:t>
      </w:r>
    </w:p>
    <w:p>
      <w:pPr>
        <w:pStyle w:val="Heading2"/>
      </w:pPr>
      <w:r>
        <w:t>Condiciones mínimas</w:t>
      </w:r>
    </w:p>
    <w:p>
      <w:r>
        <w:t>- Existencia de conectividad básica en los centros.</w:t>
        <w:br/>
        <w:t>- Participación activa de las autoridades locales.</w:t>
        <w:br/>
        <w:t>- Mecanismos de acompañamiento técnico y monitoreo.</w:t>
        <w:br/>
        <w:t>- Disponibilidad de recursos didácticos y soporte virtual continuo.</w:t>
      </w:r>
    </w:p>
    <w:p>
      <w:pPr>
        <w:pStyle w:val="Heading2"/>
      </w:pPr>
      <w:r>
        <w:t>Plazo estimado</w:t>
      </w:r>
    </w:p>
    <w:p>
      <w:r>
        <w:t>18 a 24 meses después de la finalización de la Fase 1.</w:t>
      </w:r>
    </w:p>
    <w:p>
      <w:pPr>
        <w:pStyle w:val="Heading2"/>
      </w:pPr>
      <w:r>
        <w:t>Fundamentación y citas documentales</w:t>
      </w:r>
    </w:p>
    <w:p>
      <w:r>
        <w:t xml:space="preserve">La UNESCO establece que la implementación efectiva de IA en la educación requiere ampliar las vías de aplicación basadas en evidencia, incorporando sistemas de tutoría y aprendizaje personalizado que respondan a las necesidades reales del aula. </w:t>
      </w:r>
      <w:r>
        <w:rPr>
          <w:b/>
          <w:color w:val="FF0000"/>
          <w:u w:val="single"/>
        </w:rPr>
        <w:t>(_</w:t>
        <w:t>UNESCO, 2019a</w:t>
        <w:t>_)</w:t>
      </w:r>
    </w:p>
    <w:p>
      <w:r>
        <w:t xml:space="preserve">Un ejemplo destacado de expansión progresiva es el caso de la UNAP (Chile), donde los programas virtuales comenzaron como experiencias piloto en 2014, y posteriormente se expandieron a múltiples programas con cobertura internacional, atendiendo a más de 2.000 estudiantes. </w:t>
      </w:r>
      <w:r>
        <w:rPr>
          <w:b/>
          <w:color w:val="FF0000"/>
          <w:u w:val="single"/>
        </w:rPr>
        <w:t>(_</w:t>
        <w:t>Briceño Toledo et al., 2020</w:t>
        <w:t>_)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