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6.3.3. Fase 3: Adopción Nacional</w:t>
      </w:r>
    </w:p>
    <w:p>
      <w:r>
        <w:t>La Fase 3 representa el punto culminante del proceso de implementación de la política nacional sobre educación virtual y el uso ético de la inteligencia artificial (IA). Una vez validadas las estrategias en pilotos y en centros seleccionados, esta etapa busca consolidar la institucionalización del modelo en todo el sistema educativo nacional, con respaldo normativo, técnico y presupuestario. Esta adopción nacional implicará la integración plena de la educación virtual con IA en la estructura curricular, formativa, evaluativa y operativa del sistema educativo hondureño, especialmente en los niveles de educación básica y media.</w:t>
      </w:r>
    </w:p>
    <w:p>
      <w:pPr>
        <w:pStyle w:val="Heading2"/>
      </w:pPr>
      <w:r>
        <w:t>Objetivo de la Fase</w:t>
      </w:r>
    </w:p>
    <w:p>
      <w:r>
        <w:t>Establecer oficialmente la educación virtual con integración ética de la IA como modalidad reconocida y regulada dentro del sistema educativo nacional hondureño, asegurando su adopción sostenible mediante marcos normativos, recursos institucionales y estrategias de mejora continua.</w:t>
      </w:r>
    </w:p>
    <w:p>
      <w:pPr>
        <w:pStyle w:val="Heading2"/>
      </w:pPr>
      <w:r>
        <w:t>Acciones estratégicas</w:t>
      </w:r>
    </w:p>
    <w:p>
      <w:pPr>
        <w:pStyle w:val="ListBullet"/>
      </w:pPr>
      <w:r>
        <w:t>1. Elaboración y publicación de un marco normativo nacional basado en los aprendizajes de las fases anteriores.</w:t>
      </w:r>
    </w:p>
    <w:p>
      <w:pPr>
        <w:pStyle w:val="ListBullet"/>
      </w:pPr>
      <w:r>
        <w:t>2. Inclusión oficial del currículo digital e IA educativa en los planes y programas de estudio nacionales.</w:t>
      </w:r>
    </w:p>
    <w:p>
      <w:pPr>
        <w:pStyle w:val="ListBullet"/>
      </w:pPr>
      <w:r>
        <w:t>3. Creación de estructuras técnicas permanentes dentro de SEDUC para el acompañamiento pedagógico, la gestión digital y la protección de datos estudiantiles.</w:t>
      </w:r>
    </w:p>
    <w:p>
      <w:pPr>
        <w:pStyle w:val="ListBullet"/>
      </w:pPr>
      <w:r>
        <w:t>4. Definición de estándares de calidad e indicadores nacionales para evaluación de la educación virtual.</w:t>
      </w:r>
    </w:p>
    <w:p>
      <w:pPr>
        <w:pStyle w:val="ListBullet"/>
      </w:pPr>
      <w:r>
        <w:t>5. Asignación de presupuesto estatal y fortalecimiento de alianzas con SENACIT, UPNFM y entes internacionales.</w:t>
      </w:r>
    </w:p>
    <w:p>
      <w:pPr>
        <w:pStyle w:val="ListBullet"/>
      </w:pPr>
      <w:r>
        <w:t>6. Fortalecimiento de la cultura digital institucional a nivel de centros escolares, direcciones departamentales y oficinas centrales.</w:t>
      </w:r>
    </w:p>
    <w:p>
      <w:pPr>
        <w:pStyle w:val="ListBullet"/>
      </w:pPr>
      <w:r>
        <w:t>7. Monitoreo y evaluación periódica con ajustes normativos continuos.</w:t>
      </w:r>
    </w:p>
    <w:p>
      <w:pPr>
        <w:pStyle w:val="Heading2"/>
      </w:pPr>
      <w:r>
        <w:t>Responsables institucionales</w:t>
      </w:r>
    </w:p>
    <w:p>
      <w:r>
        <w:t>Secretaría de Educación (SEDUC), Dirección de Planificación Educativa, Dirección General de Currículo, SENACIT, UPNFM, Congreso Nacional (si se emite legislación), y entes cooperantes técnicos internacionales.</w:t>
      </w:r>
    </w:p>
    <w:p>
      <w:pPr>
        <w:pStyle w:val="Heading2"/>
      </w:pPr>
      <w:r>
        <w:t>Indicadores de avance</w:t>
      </w:r>
    </w:p>
    <w:p>
      <w:r>
        <w:t>- Publicación oficial del marco normativo nacional.</w:t>
        <w:br/>
        <w:t>- % de centros educativos que adoptan oficialmente la modalidad virtual con IA.</w:t>
        <w:br/>
        <w:t>- Creación de una unidad permanente de educación digital e IA dentro de SEDUC.</w:t>
        <w:br/>
        <w:t>- % de docentes que reportan mejoras en prácticas pedagógicas digitales.</w:t>
        <w:br/>
        <w:t>- Nivel de cumplimiento de estándares de calidad definidos nacionalmente.</w:t>
      </w:r>
    </w:p>
    <w:p>
      <w:pPr>
        <w:pStyle w:val="Heading2"/>
      </w:pPr>
      <w:r>
        <w:t>Condiciones mínimas</w:t>
      </w:r>
    </w:p>
    <w:p>
      <w:r>
        <w:t>- Voluntad política y respaldo institucional de alto nivel.</w:t>
        <w:br/>
        <w:t>- Resultados favorables de las fases 1 y 2.</w:t>
        <w:br/>
        <w:t>- Capacidad técnica instalada en SEDUC.</w:t>
        <w:br/>
        <w:t>- Normas legales y operativas listas para publicación e implementación.</w:t>
      </w:r>
    </w:p>
    <w:p>
      <w:pPr>
        <w:pStyle w:val="Heading2"/>
      </w:pPr>
      <w:r>
        <w:t>Plazo estimado</w:t>
      </w:r>
    </w:p>
    <w:p>
      <w:r>
        <w:t>24 meses después del cierre y evaluación de la Fase 2.</w:t>
      </w:r>
    </w:p>
    <w:p>
      <w:pPr>
        <w:pStyle w:val="Heading2"/>
      </w:pPr>
      <w:r>
        <w:t>Fundamentación y citas documentales</w:t>
      </w:r>
    </w:p>
    <w:p>
      <w:r>
        <w:t xml:space="preserve">El Consenso de Beijing establece que los gobiernos deben elaborar marcos regulatorios que garanticen el uso responsable de la IA en la educación, priorizando la inclusión, la equidad y el desarrollo sostenible. </w:t>
      </w:r>
      <w:r>
        <w:rPr>
          <w:b/>
          <w:color w:val="FF0000"/>
          <w:u w:val="single"/>
        </w:rPr>
        <w:t>(_</w:t>
        <w:t>UNESCO, 2019a</w:t>
        <w:t>_)</w:t>
      </w:r>
    </w:p>
    <w:p>
      <w:r>
        <w:t xml:space="preserve">La experiencia de la UNAP en Chile demuestra que incluso instituciones presenciales pueden adaptar su cultura organizacional hacia la virtualidad cuando existe una visión estratégica respaldada por inversiones tecnológicas. </w:t>
      </w:r>
      <w:r>
        <w:rPr>
          <w:b/>
          <w:color w:val="FF0000"/>
          <w:u w:val="single"/>
        </w:rPr>
        <w:t>(_</w:t>
        <w:t>Briceño Toledo et al., 2020</w:t>
        <w:t>_)</w:t>
      </w:r>
    </w:p>
    <w:p>
      <w:r>
        <w:t xml:space="preserve">La implementación nacional de esta política también requiere viabilidad técnica e institucional comprobada, como lo han indicado análisis previos sobre condiciones mínimas de digitalización educativa en entornos públicos. </w:t>
      </w:r>
      <w:r>
        <w:rPr>
          <w:b/>
          <w:color w:val="FF0000"/>
          <w:u w:val="single"/>
        </w:rPr>
        <w:t>(_</w:t>
        <w:t>Albrecht, 2023</w:t>
        <w:t>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