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Capítulo 6. Evaluación, Seguimiento y Escalabilidad</w:t>
      </w:r>
    </w:p>
    <w:p>
      <w:pPr>
        <w:pStyle w:val="Heading2"/>
      </w:pPr>
      <w:r>
        <w:t>6.3. Estrategia de Escalabilidad Nacional</w:t>
      </w:r>
    </w:p>
    <w:p>
      <w:pPr>
        <w:pStyle w:val="Heading3"/>
      </w:pPr>
      <w:r>
        <w:t>6.3.1. Fase 1: piloto y formación</w:t>
      </w:r>
    </w:p>
    <w:p>
      <w:pPr>
        <w:pStyle w:val="Heading3"/>
      </w:pPr>
      <w:r>
        <w:t>6.3.2. Fase 2: implementación parcial</w:t>
      </w:r>
    </w:p>
    <w:p>
      <w:pPr>
        <w:pStyle w:val="Heading3"/>
      </w:pPr>
      <w:r>
        <w:t>6.3.3. Fase 3: adopción nacional</w:t>
      </w:r>
    </w:p>
    <w:p>
      <w:r>
        <w:t xml:space="preserve">El primer paso hacia la transformación digital educativa en Honduras debe partir de una fase piloto rigurosa, acompañada de formación docente especializada. Las experiencias internacionales y regionales coinciden en que esta etapa es esencial para sentar bases técnicas, pedagógicas y éticas. En este sentido, la UNESCO recomienda desarrollar ensayos controlados y pruebas piloto de tecnologías de IA en educación, orientadas a las necesidades prácticas de los docentes </w:t>
      </w:r>
      <w:r>
        <w:rPr>
          <w:b/>
          <w:color w:val="FF0000"/>
          <w:u w:val="single"/>
        </w:rPr>
        <w:t>_(UNESCO, 2019a)_</w:t>
      </w:r>
    </w:p>
    <w:p>
      <w:r>
        <w:t xml:space="preserve">Ejemplos como el de MystiCode, una plataforma educativa virtual con IA desarrollada en el marco de un proyecto académico, demuestran que las iniciativas piloto pueden convertirse en referentes innovadores cuando están bien diseñadas y alineadas con objetivos pedagógicos </w:t>
      </w:r>
      <w:r>
        <w:rPr>
          <w:b/>
          <w:color w:val="FF0000"/>
          <w:u w:val="single"/>
        </w:rPr>
        <w:t>_(Hernández Cruz, 2025)_</w:t>
      </w:r>
    </w:p>
    <w:p>
      <w:r>
        <w:t xml:space="preserve">La formación en buenas prácticas también ha sido destacada en estudios como el de Durán Rodríguez y Estay-Niculcar (2016), quienes evidenciaron el valor de metodologías colaborativas centradas en la reflexión crítica, el diseño instruccional y la simulación de escenarios virtuales </w:t>
      </w:r>
      <w:r>
        <w:rPr>
          <w:b/>
          <w:color w:val="FF0000"/>
          <w:u w:val="single"/>
        </w:rPr>
        <w:t>_(Durán Rodríguez y Estay-Niculcar, 2016)_</w:t>
      </w:r>
    </w:p>
    <w:p>
      <w:r>
        <w:t xml:space="preserve">Desde América Latina, experiencias como el Proyecto Serrano de la UNAP (Chile), iniciado como piloto en programas de posgrado, resaltan la importancia de realizar mediciones desde el inicio y contar con una oficina técnica que acompañe la implementación </w:t>
      </w:r>
      <w:r>
        <w:rPr>
          <w:b/>
          <w:color w:val="FF0000"/>
          <w:u w:val="single"/>
        </w:rPr>
        <w:t>_(Briceño Toledo et al., 2020)_</w:t>
      </w:r>
    </w:p>
    <w:p>
      <w:r>
        <w:t>Por tanto, se propone iniciar con un piloto en centros seleccionados con diversidad geográfica y socioeconómica, acompañado de un programa intensivo de formación docente que combine teoría y práctica en el uso de IA y plataformas virtuales.</w:t>
      </w:r>
    </w:p>
    <w:p>
      <w:r>
        <w:t xml:space="preserve">La segunda fase implica ampliar gradualmente la adopción de tecnologías de educación virtual e inteligencia artificial, con base en los aprendizajes obtenidos en la etapa piloto. La UNESCO sugiere implementar tecnologías como los sistemas de tutoría inteligente y modelos de aprendizaje personalizado, evaluando permanentemente su impacto </w:t>
      </w:r>
      <w:r>
        <w:rPr>
          <w:b/>
          <w:color w:val="FF0000"/>
          <w:u w:val="single"/>
        </w:rPr>
        <w:t>_(UNESCO, 2019a)_</w:t>
      </w:r>
    </w:p>
    <w:p>
      <w:r>
        <w:t xml:space="preserve">El modelo chileno de la UNAP proporciona un referente claro: tras su experiencia piloto, la institución expandió sus programas virtuales de posgrado entre 2014 y 2018, logrando cobertura nacional e internacional con más de 2,000 estudiantes </w:t>
      </w:r>
      <w:r>
        <w:rPr>
          <w:b/>
          <w:color w:val="FF0000"/>
          <w:u w:val="single"/>
        </w:rPr>
        <w:t>_(Briceño Toledo et al., 2020)_</w:t>
      </w:r>
    </w:p>
    <w:p>
      <w:r>
        <w:t>Esta fase debe enfocarse en expandir de manera controlada, con monitoreo constante, garantizando la inclusión de comunidades rurales y reforzando la infraestructura tecnológica local.</w:t>
      </w:r>
    </w:p>
    <w:p>
      <w:r>
        <w:t xml:space="preserve">La tercera fase contempla la adopción nacional del modelo educativo digital, articulado con políticas públicas, normativas técnicas y financiamiento sostenible. El programa Educa en Digital de España ilustra cómo la transformación digital de todo el sistema educativo no universitario requiere colaboración activa de las entidades territoriales </w:t>
      </w:r>
      <w:r>
        <w:rPr>
          <w:b/>
          <w:color w:val="FF0000"/>
          <w:u w:val="single"/>
        </w:rPr>
        <w:t>_(Ministerio de la Presidencia, 2020)_</w:t>
      </w:r>
    </w:p>
    <w:p>
      <w:r>
        <w:t xml:space="preserve">El Consenso de Beijing, promovido por la UNESCO, recomienda a los gobiernos establecer marcos regulatorios para garantizar el uso responsable de la IA en la educación. Estos marcos deben asegurar principios de inclusión, ética, transparencia y rendición de cuentas </w:t>
      </w:r>
      <w:r>
        <w:rPr>
          <w:b/>
          <w:color w:val="FF0000"/>
          <w:u w:val="single"/>
        </w:rPr>
        <w:t>_(UNESCO, 2019a)_</w:t>
      </w:r>
    </w:p>
    <w:p>
      <w:r>
        <w:t xml:space="preserve">Asimismo, se ha observado cómo la educación virtual se ha ido integrando progresivamente en instituciones con estructura presencial, transformando su cultura organizacional, procesos internos y visión estratégica a través de inversiones sostenidas en tecnología </w:t>
      </w:r>
      <w:r>
        <w:rPr>
          <w:b/>
          <w:color w:val="FF0000"/>
          <w:u w:val="single"/>
        </w:rPr>
        <w:t>_(Briceño Toledo et al., 2020)_</w:t>
      </w:r>
    </w:p>
    <w:p>
      <w:r>
        <w:t>Honduras debe implementar esta fase a través de una política nacional escalonada, con indicadores de progreso, sistemas de monitoreo y cooperación interinstitucional e internacional. La meta final es una cobertura nacional con equidad digital, calidad educativa y uso ético de las tecnologías emergentes.</w:t>
      </w:r>
    </w:p>
    <w:p>
      <w:pPr>
        <w:pStyle w:val="Heading1"/>
      </w:pPr>
      <w:r>
        <w:t>Referencias Bibliográficas</w:t>
      </w:r>
    </w:p>
    <w:p>
      <w:r>
        <w:t>Tipo de fuente bibliográfica: Artículo de revista</w:t>
      </w:r>
    </w:p>
    <w:p>
      <w:r>
        <w:t>Autor(es): Hernández Cruz, L. M.</w:t>
      </w:r>
    </w:p>
    <w:p>
      <w:r>
        <w:t>Título del artículo: Gestión de una plataforma educativa virtual con inteligencia artificial y su adecuación funcional en el proceso de aprendizaje</w:t>
      </w:r>
    </w:p>
    <w:p>
      <w:r>
        <w:t>Título de la revista: European Public &amp; Social Innovation Review</w:t>
      </w:r>
    </w:p>
    <w:p>
      <w:r>
        <w:t>Año: 2025</w:t>
      </w:r>
    </w:p>
    <w:p>
      <w:r>
        <w:t>Volumen: 10</w:t>
      </w:r>
    </w:p>
    <w:p>
      <w:r>
        <w:t>Páginas: 1–17</w:t>
      </w:r>
    </w:p>
    <w:p>
      <w:r>
        <w:t>Tipo de documento: Artículo académico</w:t>
      </w:r>
    </w:p>
    <w:p/>
    <w:p>
      <w:r>
        <w:t>Tipo de fuente bibliográfica: Informe</w:t>
      </w:r>
    </w:p>
    <w:p>
      <w:r>
        <w:t>Autor corporativo: UNESCO</w:t>
      </w:r>
    </w:p>
    <w:p>
      <w:r>
        <w:t>Título del documento: Inteligencia artificial y educación: Guía para las personas a cargo de formular políticas</w:t>
      </w:r>
    </w:p>
    <w:p>
      <w:r>
        <w:t>Año: 2019</w:t>
      </w:r>
    </w:p>
    <w:p>
      <w:r>
        <w:t>Editorial o entidad editora: UNESCO</w:t>
      </w:r>
    </w:p>
    <w:p>
      <w:r>
        <w:t>Ciudad: París</w:t>
      </w:r>
    </w:p>
    <w:p>
      <w:r>
        <w:t>Tipo de documento: Guía institucional</w:t>
      </w:r>
    </w:p>
    <w:p/>
    <w:p>
      <w:r>
        <w:t>Tipo de fuente bibliográfica: Artículo de revista</w:t>
      </w:r>
    </w:p>
    <w:p>
      <w:r>
        <w:t>Autor(es): Durán Rodríguez, R., &amp; Estay-Niculcar, C. A.</w:t>
      </w:r>
    </w:p>
    <w:p>
      <w:r>
        <w:t>Título del artículo: Formación en buenas prácticas docentes para la educación virtual</w:t>
      </w:r>
    </w:p>
    <w:p>
      <w:r>
        <w:t>Título de la revista: RIED</w:t>
      </w:r>
    </w:p>
    <w:p>
      <w:r>
        <w:t>Año: 2016</w:t>
      </w:r>
    </w:p>
    <w:p>
      <w:r>
        <w:t>Volumen: 19</w:t>
      </w:r>
    </w:p>
    <w:p>
      <w:r>
        <w:t>Número: 1</w:t>
      </w:r>
    </w:p>
    <w:p>
      <w:r>
        <w:t>Páginas: 209–232</w:t>
      </w:r>
    </w:p>
    <w:p>
      <w:r>
        <w:t>Tipo de documento: Artículo académico</w:t>
      </w:r>
    </w:p>
    <w:p/>
    <w:p>
      <w:r>
        <w:t>Tipo de fuente bibliográfica: Artículo de revista</w:t>
      </w:r>
    </w:p>
    <w:p>
      <w:r>
        <w:t>Autor(es): Briceño Toledo, M., Correa Castillo, S., Valdés Montecinos, M., &amp; Hadweh Briceño, M.</w:t>
      </w:r>
    </w:p>
    <w:p>
      <w:r>
        <w:t>Título del artículo: Modelo de gestión educativa para programas en modalidad virtual de aprendizaje</w:t>
      </w:r>
    </w:p>
    <w:p>
      <w:r>
        <w:t>Título de la revista: Revista de Ciencias Sociales</w:t>
      </w:r>
    </w:p>
    <w:p>
      <w:r>
        <w:t>Año: 2020</w:t>
      </w:r>
    </w:p>
    <w:p>
      <w:r>
        <w:t>Volumen: 26</w:t>
      </w:r>
    </w:p>
    <w:p>
      <w:r>
        <w:t>Número: 2</w:t>
      </w:r>
    </w:p>
    <w:p>
      <w:r>
        <w:t>Páginas: 286–298</w:t>
      </w:r>
    </w:p>
    <w:p>
      <w:r>
        <w:t>Tipo de documento: Artículo académico</w:t>
      </w:r>
    </w:p>
    <w:p/>
    <w:p>
      <w:r>
        <w:t>Tipo de fuente bibliográfica: Informe</w:t>
      </w:r>
    </w:p>
    <w:p>
      <w:r>
        <w:t>Autor corporativo: Ministerio de la Presidencia, Relaciones con las Cortes y Memoria Democrática</w:t>
      </w:r>
    </w:p>
    <w:p>
      <w:r>
        <w:t>Título del documento: Resolución de 7 de julio de 2020</w:t>
      </w:r>
    </w:p>
    <w:p>
      <w:r>
        <w:t>Año: 2020</w:t>
      </w:r>
    </w:p>
    <w:p>
      <w:r>
        <w:t>Editorial o entidad editora: Boletín Oficial del Estado</w:t>
      </w:r>
    </w:p>
    <w:p>
      <w:r>
        <w:t>Ciudad: Madrid</w:t>
      </w:r>
    </w:p>
    <w:p>
      <w:r>
        <w:t>Tipo de documento: Documento técnico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