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PROJECT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Sponsor: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End 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PROJECT PURPOSE &amp; JUSTIFICATION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PROJECT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SCOPE (IN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KEY MILESTONES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Involvement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HIGH-LEVEL RISKS &amp;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BUDGET SUMMARY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Sponsor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after="0" w:lineRule="auto"/>
      <w:rPr>
        <w:rFonts w:ascii="Calibri" w:cs="Calibri" w:eastAsia="Calibri" w:hAnsi="Calibri"/>
        <w:b w:val="1"/>
        <w:bCs w:val="1"/>
        <w:i w:val="1"/>
        <w:iCs w:val="1"/>
        <w:color w:val="1f3b73"/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1f3b73"/>
      </w:rPr>
      <w:pict>
        <v:shape id="WordPictureWatermark2" style="position:absolute;width:225.13779527559058pt;height:148.293129109013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/>
      <w:pict>
        <v:shape id="WordPictureWatermark1" style="position:absolute;width:225.13779527559058pt;height:148.293129109013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MPh0yMHipI+jTbMKRyQX+6lCSQ==">CgMxLjA4AHIhMV9rcjZXZzlPR3dPNWwyZ09vRjNYZkEwU0JlajBwMFdY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